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4B2" w:rsidRPr="001538EF" w:rsidRDefault="005934B2" w:rsidP="00A401F8">
      <w:r w:rsidRPr="001538EF">
        <w:t xml:space="preserve">     </w:t>
      </w:r>
    </w:p>
    <w:p w:rsidR="005934B2" w:rsidRPr="001538EF" w:rsidRDefault="005934B2" w:rsidP="00A401F8">
      <w:pPr>
        <w:jc w:val="center"/>
      </w:pPr>
      <w:r w:rsidRPr="001538EF">
        <w:rPr>
          <w:noProof/>
          <w:lang w:val="en-US" w:eastAsia="en-US"/>
        </w:rPr>
        <w:drawing>
          <wp:inline distT="0" distB="0" distL="0" distR="0" wp14:anchorId="2FEBBD50" wp14:editId="01CA6455">
            <wp:extent cx="2661584" cy="1337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min-ajax.png"/>
                    <pic:cNvPicPr/>
                  </pic:nvPicPr>
                  <pic:blipFill>
                    <a:blip r:embed="rId8">
                      <a:extLst>
                        <a:ext uri="{28A0092B-C50C-407E-A947-70E740481C1C}">
                          <a14:useLocalDpi xmlns:a14="http://schemas.microsoft.com/office/drawing/2010/main" val="0"/>
                        </a:ext>
                      </a:extLst>
                    </a:blip>
                    <a:stretch>
                      <a:fillRect/>
                    </a:stretch>
                  </pic:blipFill>
                  <pic:spPr>
                    <a:xfrm>
                      <a:off x="0" y="0"/>
                      <a:ext cx="2664663" cy="1339027"/>
                    </a:xfrm>
                    <a:prstGeom prst="rect">
                      <a:avLst/>
                    </a:prstGeom>
                  </pic:spPr>
                </pic:pic>
              </a:graphicData>
            </a:graphic>
          </wp:inline>
        </w:drawing>
      </w:r>
    </w:p>
    <w:p w:rsidR="005934B2" w:rsidRPr="001538EF" w:rsidRDefault="005934B2" w:rsidP="00A401F8"/>
    <w:p w:rsidR="005934B2" w:rsidRPr="001538EF" w:rsidRDefault="005934B2" w:rsidP="00A401F8">
      <w:pPr>
        <w:rPr>
          <w:lang w:val="sr-Cyrl-BA"/>
        </w:rPr>
      </w:pP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r>
      <w:r w:rsidRPr="001538EF">
        <w:rPr>
          <w:lang w:val="sr-Cyrl-BA"/>
        </w:rPr>
        <w:tab/>
        <w:t xml:space="preserve"> </w:t>
      </w:r>
    </w:p>
    <w:p w:rsidR="005934B2" w:rsidRPr="001538EF" w:rsidRDefault="005934B2" w:rsidP="00A401F8">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r w:rsidRPr="001538EF">
        <w:tab/>
      </w:r>
    </w:p>
    <w:p w:rsidR="005934B2" w:rsidRPr="001538EF" w:rsidRDefault="005934B2" w:rsidP="00A401F8">
      <w:pPr>
        <w:rPr>
          <w:lang w:val="sr-Cyrl-BA"/>
        </w:rPr>
      </w:pPr>
    </w:p>
    <w:p w:rsidR="005934B2" w:rsidRPr="005767EF" w:rsidRDefault="005934B2" w:rsidP="00A401F8">
      <w:pPr>
        <w:jc w:val="right"/>
        <w:rPr>
          <w:rFonts w:asciiTheme="minorHAnsi" w:hAnsiTheme="minorHAnsi"/>
          <w:sz w:val="20"/>
          <w:szCs w:val="20"/>
          <w:lang w:val="sr-Cyrl-BA"/>
        </w:rPr>
      </w:pPr>
      <w:bookmarkStart w:id="0" w:name="_GoBack"/>
      <w:bookmarkEnd w:id="0"/>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D368D4" w:rsidRDefault="005934B2" w:rsidP="00A401F8">
      <w:pPr>
        <w:rPr>
          <w:rFonts w:asciiTheme="minorHAnsi" w:hAnsiTheme="minorHAnsi"/>
          <w:sz w:val="28"/>
          <w:szCs w:val="28"/>
        </w:rPr>
      </w:pPr>
    </w:p>
    <w:p w:rsidR="005934B2" w:rsidRPr="00D368D4" w:rsidRDefault="005934B2" w:rsidP="00A401F8">
      <w:pPr>
        <w:jc w:val="center"/>
        <w:rPr>
          <w:rFonts w:asciiTheme="minorHAnsi" w:hAnsiTheme="minorHAnsi"/>
          <w:b/>
          <w:spacing w:val="60"/>
          <w:sz w:val="28"/>
          <w:szCs w:val="28"/>
        </w:rPr>
      </w:pPr>
      <w:r w:rsidRPr="00D368D4">
        <w:rPr>
          <w:rFonts w:asciiTheme="minorHAnsi" w:hAnsiTheme="minorHAnsi"/>
          <w:b/>
          <w:spacing w:val="60"/>
          <w:sz w:val="28"/>
          <w:szCs w:val="28"/>
          <w:lang w:val="sr-Cyrl-BA"/>
        </w:rPr>
        <w:t>IZVJEŠTAJ</w:t>
      </w:r>
    </w:p>
    <w:p w:rsidR="005934B2" w:rsidRPr="00D368D4" w:rsidRDefault="005934B2" w:rsidP="00A401F8">
      <w:pPr>
        <w:jc w:val="center"/>
        <w:rPr>
          <w:rFonts w:asciiTheme="minorHAnsi" w:hAnsiTheme="minorHAnsi"/>
          <w:b/>
          <w:spacing w:val="60"/>
          <w:sz w:val="28"/>
          <w:szCs w:val="28"/>
          <w:lang w:val="sr-Cyrl-BA"/>
        </w:rPr>
      </w:pPr>
      <w:r w:rsidRPr="00D368D4">
        <w:rPr>
          <w:rFonts w:asciiTheme="minorHAnsi" w:hAnsiTheme="minorHAnsi"/>
          <w:b/>
          <w:spacing w:val="60"/>
          <w:sz w:val="28"/>
          <w:szCs w:val="28"/>
          <w:lang w:val="sr-Cyrl-BA"/>
        </w:rPr>
        <w:t xml:space="preserve"> </w:t>
      </w:r>
      <w:r>
        <w:rPr>
          <w:rFonts w:asciiTheme="minorHAnsi" w:hAnsiTheme="minorHAnsi"/>
          <w:b/>
          <w:spacing w:val="60"/>
          <w:sz w:val="28"/>
          <w:szCs w:val="28"/>
          <w:lang w:val="sr-Cyrl-BA"/>
        </w:rPr>
        <w:t>O RADU I POSLOVANjU</w:t>
      </w:r>
    </w:p>
    <w:p w:rsidR="005934B2" w:rsidRPr="00D368D4" w:rsidRDefault="005934B2" w:rsidP="00A401F8">
      <w:pPr>
        <w:jc w:val="center"/>
        <w:rPr>
          <w:rFonts w:asciiTheme="minorHAnsi" w:hAnsiTheme="minorHAnsi"/>
          <w:b/>
          <w:sz w:val="28"/>
          <w:szCs w:val="28"/>
          <w:lang w:val="sr-Cyrl-RS"/>
        </w:rPr>
      </w:pPr>
      <w:r w:rsidRPr="00D368D4">
        <w:rPr>
          <w:rFonts w:asciiTheme="minorHAnsi" w:hAnsiTheme="minorHAnsi"/>
          <w:b/>
          <w:sz w:val="28"/>
          <w:szCs w:val="28"/>
        </w:rPr>
        <w:t>GARANTNOG FONDA REPUBLIKE SRPSKE A</w:t>
      </w:r>
      <w:r w:rsidRPr="00D368D4">
        <w:rPr>
          <w:rFonts w:asciiTheme="minorHAnsi" w:hAnsiTheme="minorHAnsi"/>
          <w:b/>
          <w:sz w:val="28"/>
          <w:szCs w:val="28"/>
          <w:lang w:val="sr-Cyrl-RS"/>
        </w:rPr>
        <w:t>.</w:t>
      </w:r>
      <w:r w:rsidRPr="00D368D4">
        <w:rPr>
          <w:rFonts w:asciiTheme="minorHAnsi" w:hAnsiTheme="minorHAnsi"/>
          <w:b/>
          <w:sz w:val="28"/>
          <w:szCs w:val="28"/>
        </w:rPr>
        <w:t>D</w:t>
      </w:r>
      <w:r w:rsidRPr="00D368D4">
        <w:rPr>
          <w:rFonts w:asciiTheme="minorHAnsi" w:hAnsiTheme="minorHAnsi"/>
          <w:b/>
          <w:sz w:val="28"/>
          <w:szCs w:val="28"/>
          <w:lang w:val="sr-Cyrl-RS"/>
        </w:rPr>
        <w:t>.</w:t>
      </w:r>
    </w:p>
    <w:p w:rsidR="005934B2" w:rsidRPr="00D368D4" w:rsidRDefault="005934B2" w:rsidP="00A401F8">
      <w:pPr>
        <w:jc w:val="center"/>
        <w:rPr>
          <w:rFonts w:asciiTheme="minorHAnsi" w:hAnsiTheme="minorHAnsi"/>
          <w:b/>
          <w:sz w:val="28"/>
          <w:szCs w:val="28"/>
        </w:rPr>
      </w:pPr>
      <w:r w:rsidRPr="00D368D4">
        <w:rPr>
          <w:rFonts w:asciiTheme="minorHAnsi" w:hAnsiTheme="minorHAnsi"/>
          <w:b/>
          <w:sz w:val="28"/>
          <w:szCs w:val="28"/>
        </w:rPr>
        <w:t>BANjA LUKA</w:t>
      </w:r>
      <w:r w:rsidRPr="00D368D4">
        <w:rPr>
          <w:rFonts w:asciiTheme="minorHAnsi" w:hAnsiTheme="minorHAnsi"/>
          <w:b/>
          <w:sz w:val="28"/>
          <w:szCs w:val="28"/>
          <w:lang w:val="sr-Cyrl-BA"/>
        </w:rPr>
        <w:t xml:space="preserve"> ZA 20</w:t>
      </w:r>
      <w:r w:rsidRPr="00D368D4">
        <w:rPr>
          <w:rFonts w:asciiTheme="minorHAnsi" w:hAnsiTheme="minorHAnsi"/>
          <w:b/>
          <w:sz w:val="28"/>
          <w:szCs w:val="28"/>
        </w:rPr>
        <w:t>2</w:t>
      </w:r>
      <w:r>
        <w:rPr>
          <w:rFonts w:asciiTheme="minorHAnsi" w:hAnsiTheme="minorHAnsi"/>
          <w:b/>
          <w:sz w:val="28"/>
          <w:szCs w:val="28"/>
        </w:rPr>
        <w:t>4</w:t>
      </w:r>
      <w:r w:rsidRPr="00D368D4">
        <w:rPr>
          <w:rFonts w:asciiTheme="minorHAnsi" w:hAnsiTheme="minorHAnsi"/>
          <w:b/>
          <w:sz w:val="28"/>
          <w:szCs w:val="28"/>
          <w:lang w:val="sr-Cyrl-BA"/>
        </w:rPr>
        <w:t>.</w:t>
      </w:r>
      <w:r w:rsidRPr="00D368D4">
        <w:rPr>
          <w:rFonts w:asciiTheme="minorHAnsi" w:hAnsiTheme="minorHAnsi"/>
          <w:b/>
          <w:sz w:val="28"/>
          <w:szCs w:val="28"/>
        </w:rPr>
        <w:t xml:space="preserve"> </w:t>
      </w:r>
      <w:r w:rsidRPr="00D368D4">
        <w:rPr>
          <w:rFonts w:asciiTheme="minorHAnsi" w:hAnsiTheme="minorHAnsi"/>
          <w:b/>
          <w:sz w:val="28"/>
          <w:szCs w:val="28"/>
          <w:lang w:val="sr-Cyrl-BA"/>
        </w:rPr>
        <w:t>GODINU</w:t>
      </w:r>
      <w:r w:rsidRPr="00D368D4">
        <w:rPr>
          <w:rFonts w:asciiTheme="minorHAnsi" w:hAnsiTheme="minorHAnsi"/>
          <w:b/>
          <w:sz w:val="28"/>
          <w:szCs w:val="28"/>
        </w:rPr>
        <w:t xml:space="preserve"> </w:t>
      </w:r>
    </w:p>
    <w:p w:rsidR="005934B2" w:rsidRPr="00D368D4" w:rsidRDefault="005934B2" w:rsidP="00A401F8">
      <w:pPr>
        <w:rPr>
          <w:rFonts w:asciiTheme="minorHAnsi" w:hAnsiTheme="minorHAnsi"/>
          <w:sz w:val="28"/>
          <w:szCs w:val="28"/>
        </w:rPr>
      </w:pPr>
    </w:p>
    <w:p w:rsidR="005934B2" w:rsidRPr="00D368D4" w:rsidRDefault="005934B2" w:rsidP="00A401F8">
      <w:pPr>
        <w:rPr>
          <w:rFonts w:asciiTheme="minorHAnsi" w:hAnsiTheme="minorHAnsi"/>
          <w:sz w:val="28"/>
          <w:szCs w:val="28"/>
        </w:rPr>
      </w:pPr>
    </w:p>
    <w:p w:rsidR="005934B2" w:rsidRPr="00D368D4" w:rsidRDefault="005934B2" w:rsidP="00A401F8">
      <w:pPr>
        <w:rPr>
          <w:rFonts w:asciiTheme="minorHAnsi" w:hAnsiTheme="minorHAnsi"/>
          <w:sz w:val="28"/>
          <w:szCs w:val="28"/>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lang w:val="sr-Cyrl-BA"/>
        </w:rPr>
      </w:pPr>
    </w:p>
    <w:p w:rsidR="005934B2" w:rsidRPr="005767EF" w:rsidRDefault="005934B2" w:rsidP="00A401F8">
      <w:pPr>
        <w:rPr>
          <w:rFonts w:asciiTheme="minorHAnsi" w:hAnsiTheme="minorHAnsi"/>
          <w:sz w:val="20"/>
          <w:szCs w:val="20"/>
          <w:lang w:val="sr-Cyrl-BA"/>
        </w:rPr>
      </w:pPr>
    </w:p>
    <w:p w:rsidR="005934B2" w:rsidRPr="005767EF" w:rsidRDefault="005934B2" w:rsidP="00A401F8">
      <w:pPr>
        <w:rPr>
          <w:rFonts w:asciiTheme="minorHAnsi" w:hAnsiTheme="minorHAnsi"/>
          <w:sz w:val="20"/>
          <w:szCs w:val="20"/>
          <w:lang w:val="sr-Cyrl-BA"/>
        </w:rPr>
      </w:pPr>
    </w:p>
    <w:p w:rsidR="005934B2" w:rsidRPr="005767EF" w:rsidRDefault="005934B2" w:rsidP="00A401F8">
      <w:pPr>
        <w:rPr>
          <w:rFonts w:asciiTheme="minorHAnsi" w:hAnsiTheme="minorHAnsi"/>
          <w:sz w:val="20"/>
          <w:szCs w:val="20"/>
          <w:lang w:val="sr-Cyrl-BA"/>
        </w:rPr>
      </w:pPr>
    </w:p>
    <w:p w:rsidR="005934B2" w:rsidRPr="005767EF" w:rsidRDefault="005934B2" w:rsidP="00A401F8">
      <w:pPr>
        <w:rPr>
          <w:rFonts w:asciiTheme="minorHAnsi" w:hAnsiTheme="minorHAnsi"/>
          <w:sz w:val="20"/>
          <w:szCs w:val="20"/>
          <w:lang w:val="sr-Cyrl-BA"/>
        </w:rPr>
      </w:pPr>
    </w:p>
    <w:p w:rsidR="005934B2" w:rsidRPr="005767EF" w:rsidRDefault="005934B2" w:rsidP="00A401F8">
      <w:pPr>
        <w:rPr>
          <w:rFonts w:asciiTheme="minorHAnsi" w:hAnsiTheme="minorHAnsi"/>
          <w:sz w:val="20"/>
          <w:szCs w:val="20"/>
          <w:lang w:val="sr-Cyrl-BA"/>
        </w:rPr>
      </w:pPr>
    </w:p>
    <w:p w:rsidR="005934B2" w:rsidRPr="005767EF" w:rsidRDefault="005934B2" w:rsidP="00A401F8">
      <w:pPr>
        <w:rPr>
          <w:rFonts w:asciiTheme="minorHAnsi" w:hAnsiTheme="minorHAnsi"/>
          <w:sz w:val="20"/>
          <w:szCs w:val="20"/>
          <w:lang w:val="sr-Cyrl-BA"/>
        </w:rPr>
      </w:pPr>
    </w:p>
    <w:p w:rsidR="005934B2" w:rsidRPr="005767EF"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Pr="007B2869" w:rsidRDefault="005934B2" w:rsidP="00A401F8">
      <w:pPr>
        <w:rPr>
          <w:rFonts w:asciiTheme="minorHAnsi" w:hAnsiTheme="minorHAnsi"/>
          <w:sz w:val="20"/>
          <w:szCs w:val="20"/>
          <w:lang w:val="sr-Cyrl-RS"/>
        </w:rPr>
      </w:pPr>
    </w:p>
    <w:p w:rsidR="005934B2" w:rsidRPr="005767EF" w:rsidRDefault="005934B2" w:rsidP="00A401F8">
      <w:pPr>
        <w:jc w:val="center"/>
        <w:rPr>
          <w:rFonts w:asciiTheme="minorHAnsi" w:hAnsiTheme="minorHAnsi"/>
          <w:sz w:val="20"/>
          <w:szCs w:val="20"/>
          <w:lang w:val="sr-Cyrl-BA"/>
        </w:rPr>
      </w:pPr>
      <w:r w:rsidRPr="005767EF">
        <w:rPr>
          <w:rFonts w:asciiTheme="minorHAnsi" w:hAnsiTheme="minorHAnsi"/>
          <w:sz w:val="20"/>
          <w:szCs w:val="20"/>
        </w:rPr>
        <w:lastRenderedPageBreak/>
        <w:t>BANjA LUKA</w:t>
      </w:r>
      <w:r>
        <w:rPr>
          <w:rFonts w:asciiTheme="minorHAnsi" w:hAnsiTheme="minorHAnsi"/>
          <w:sz w:val="20"/>
          <w:szCs w:val="20"/>
          <w:lang w:val="sr-Cyrl-BA"/>
        </w:rPr>
        <w:t xml:space="preserve">, </w:t>
      </w:r>
      <w:r>
        <w:rPr>
          <w:rFonts w:asciiTheme="minorHAnsi" w:hAnsiTheme="minorHAnsi"/>
          <w:sz w:val="20"/>
          <w:szCs w:val="20"/>
          <w:lang w:val="sr-Cyrl-RS"/>
        </w:rPr>
        <w:t xml:space="preserve">jun </w:t>
      </w:r>
      <w:r>
        <w:rPr>
          <w:rFonts w:asciiTheme="minorHAnsi" w:hAnsiTheme="minorHAnsi"/>
          <w:sz w:val="20"/>
          <w:szCs w:val="20"/>
          <w:lang w:val="sr-Cyrl-BA"/>
        </w:rPr>
        <w:t>2025</w:t>
      </w:r>
      <w:r w:rsidRPr="005767EF">
        <w:rPr>
          <w:rFonts w:asciiTheme="minorHAnsi" w:hAnsiTheme="minorHAnsi"/>
          <w:sz w:val="20"/>
          <w:szCs w:val="20"/>
        </w:rPr>
        <w:t xml:space="preserve">. </w:t>
      </w:r>
      <w:r w:rsidRPr="005767EF">
        <w:rPr>
          <w:rFonts w:asciiTheme="minorHAnsi" w:hAnsiTheme="minorHAnsi"/>
          <w:sz w:val="20"/>
          <w:szCs w:val="20"/>
          <w:lang w:val="sr-Cyrl-RS"/>
        </w:rPr>
        <w:t>g</w:t>
      </w:r>
      <w:r w:rsidRPr="005767EF">
        <w:rPr>
          <w:rFonts w:asciiTheme="minorHAnsi" w:hAnsiTheme="minorHAnsi"/>
          <w:sz w:val="20"/>
          <w:szCs w:val="20"/>
        </w:rPr>
        <w:t>odine</w:t>
      </w:r>
    </w:p>
    <w:p w:rsidR="005934B2" w:rsidRPr="005767EF" w:rsidRDefault="005934B2" w:rsidP="00A401F8">
      <w:pPr>
        <w:rPr>
          <w:rFonts w:asciiTheme="minorHAnsi" w:hAnsiTheme="minorHAnsi"/>
          <w:sz w:val="20"/>
          <w:szCs w:val="20"/>
        </w:rPr>
      </w:pPr>
    </w:p>
    <w:p w:rsidR="005934B2" w:rsidRPr="005767EF" w:rsidRDefault="005934B2" w:rsidP="00A401F8">
      <w:pPr>
        <w:rPr>
          <w:rFonts w:asciiTheme="minorHAnsi" w:hAnsiTheme="minorHAnsi"/>
          <w:sz w:val="20"/>
          <w:szCs w:val="20"/>
        </w:rPr>
      </w:pPr>
    </w:p>
    <w:p w:rsidR="005934B2" w:rsidRPr="005767EF" w:rsidRDefault="005934B2" w:rsidP="00A401F8">
      <w:pPr>
        <w:jc w:val="center"/>
        <w:rPr>
          <w:rFonts w:asciiTheme="minorHAnsi" w:hAnsiTheme="minorHAnsi"/>
          <w:b/>
          <w:sz w:val="20"/>
          <w:szCs w:val="20"/>
          <w:lang w:val="sr-Cyrl-BA"/>
        </w:rPr>
      </w:pPr>
    </w:p>
    <w:p w:rsidR="005934B2" w:rsidRPr="00412718" w:rsidRDefault="005934B2" w:rsidP="00A401F8">
      <w:pPr>
        <w:jc w:val="center"/>
        <w:rPr>
          <w:rFonts w:asciiTheme="minorHAnsi" w:hAnsiTheme="minorHAnsi"/>
          <w:b/>
          <w:sz w:val="20"/>
          <w:szCs w:val="20"/>
          <w:lang w:val="sr-Cyrl-BA"/>
        </w:rPr>
      </w:pPr>
      <w:r>
        <w:rPr>
          <w:rFonts w:asciiTheme="minorHAnsi" w:hAnsiTheme="minorHAnsi"/>
          <w:b/>
          <w:sz w:val="20"/>
          <w:szCs w:val="20"/>
          <w:lang w:val="sr-Cyrl-BA"/>
        </w:rPr>
        <w:t>S A D R Ž A J</w:t>
      </w:r>
    </w:p>
    <w:p w:rsidR="005934B2" w:rsidRPr="005767EF" w:rsidRDefault="005934B2" w:rsidP="00A401F8">
      <w:pPr>
        <w:autoSpaceDE w:val="0"/>
        <w:autoSpaceDN w:val="0"/>
        <w:adjustRightInd w:val="0"/>
        <w:jc w:val="left"/>
        <w:rPr>
          <w:rFonts w:asciiTheme="minorHAnsi" w:eastAsiaTheme="minorHAnsi" w:hAnsiTheme="minorHAnsi"/>
          <w:color w:val="auto"/>
          <w:sz w:val="20"/>
          <w:szCs w:val="20"/>
          <w:lang w:val="sr-Cyrl-BA" w:eastAsia="en-US"/>
        </w:rPr>
      </w:pPr>
    </w:p>
    <w:sdt>
      <w:sdtPr>
        <w:rPr>
          <w:rFonts w:asciiTheme="minorHAnsi" w:hAnsiTheme="minorHAnsi"/>
          <w:sz w:val="20"/>
          <w:szCs w:val="20"/>
        </w:rPr>
        <w:id w:val="1009410468"/>
        <w:docPartObj>
          <w:docPartGallery w:val="Table of Contents"/>
          <w:docPartUnique/>
        </w:docPartObj>
      </w:sdtPr>
      <w:sdtEndPr>
        <w:rPr>
          <w:b/>
          <w:bCs/>
          <w:noProof/>
        </w:rPr>
      </w:sdtEndPr>
      <w:sdtContent>
        <w:p w:rsidR="005934B2" w:rsidRPr="005767EF" w:rsidRDefault="005934B2" w:rsidP="00A401F8">
          <w:pPr>
            <w:rPr>
              <w:rFonts w:asciiTheme="minorHAnsi" w:hAnsiTheme="minorHAnsi"/>
              <w:sz w:val="20"/>
              <w:szCs w:val="20"/>
            </w:rPr>
          </w:pPr>
        </w:p>
        <w:p w:rsidR="005934B2" w:rsidRPr="005767EF" w:rsidRDefault="005934B2" w:rsidP="00A401F8">
          <w:pPr>
            <w:pStyle w:val="TOC1"/>
            <w:tabs>
              <w:tab w:val="clear" w:pos="284"/>
              <w:tab w:val="left" w:pos="426"/>
              <w:tab w:val="left" w:pos="709"/>
            </w:tabs>
            <w:rPr>
              <w:rFonts w:eastAsiaTheme="minorEastAsia"/>
              <w:noProof/>
              <w:color w:val="auto"/>
              <w:lang w:val="sr-Latn-RS" w:eastAsia="sr-Latn-RS"/>
            </w:rPr>
          </w:pPr>
          <w:r w:rsidRPr="005767EF">
            <w:fldChar w:fldCharType="begin"/>
          </w:r>
          <w:r w:rsidRPr="005767EF">
            <w:instrText xml:space="preserve"> TOC \o "1-3" \h \z \u </w:instrText>
          </w:r>
          <w:r w:rsidRPr="005767EF">
            <w:fldChar w:fldCharType="separate"/>
          </w:r>
          <w:hyperlink w:anchor="_Toc135292166" w:history="1">
            <w:r>
              <w:rPr>
                <w:rStyle w:val="Hyperlink"/>
                <w:noProof/>
                <w:szCs w:val="20"/>
              </w:rPr>
              <w:t xml:space="preserve">       </w:t>
            </w:r>
            <w:r w:rsidRPr="005767EF">
              <w:rPr>
                <w:rStyle w:val="Hyperlink"/>
                <w:noProof/>
                <w:szCs w:val="20"/>
              </w:rPr>
              <w:t>UVOD</w:t>
            </w:r>
            <w:r w:rsidRPr="005767EF">
              <w:rPr>
                <w:noProof/>
                <w:webHidden/>
              </w:rPr>
              <w:tab/>
            </w:r>
            <w:r w:rsidRPr="005767EF">
              <w:rPr>
                <w:noProof/>
                <w:webHidden/>
              </w:rPr>
              <w:fldChar w:fldCharType="begin"/>
            </w:r>
            <w:r w:rsidRPr="005767EF">
              <w:rPr>
                <w:noProof/>
                <w:webHidden/>
              </w:rPr>
              <w:instrText xml:space="preserve"> PAGEREF _Toc135292166 \h </w:instrText>
            </w:r>
            <w:r w:rsidRPr="005767EF">
              <w:rPr>
                <w:noProof/>
                <w:webHidden/>
              </w:rPr>
            </w:r>
            <w:r w:rsidRPr="005767EF">
              <w:rPr>
                <w:noProof/>
                <w:webHidden/>
              </w:rPr>
              <w:fldChar w:fldCharType="separate"/>
            </w:r>
            <w:r>
              <w:rPr>
                <w:noProof/>
                <w:webHidden/>
              </w:rPr>
              <w:t>3</w:t>
            </w:r>
            <w:r w:rsidRPr="005767EF">
              <w:rPr>
                <w:noProof/>
                <w:webHidden/>
              </w:rPr>
              <w:fldChar w:fldCharType="end"/>
            </w:r>
          </w:hyperlink>
        </w:p>
        <w:p w:rsidR="005934B2" w:rsidRPr="005767EF" w:rsidRDefault="000472AB" w:rsidP="00A401F8">
          <w:pPr>
            <w:pStyle w:val="TOC1"/>
            <w:tabs>
              <w:tab w:val="clear" w:pos="284"/>
              <w:tab w:val="left" w:pos="426"/>
              <w:tab w:val="left" w:pos="709"/>
            </w:tabs>
            <w:rPr>
              <w:rFonts w:eastAsiaTheme="minorEastAsia"/>
              <w:noProof/>
              <w:color w:val="auto"/>
              <w:lang w:val="sr-Latn-RS" w:eastAsia="sr-Latn-RS"/>
            </w:rPr>
          </w:pPr>
          <w:hyperlink w:anchor="_Toc135292167" w:history="1">
            <w:r w:rsidR="005934B2">
              <w:rPr>
                <w:rStyle w:val="Hyperlink"/>
                <w:rFonts w:eastAsiaTheme="minorHAnsi"/>
                <w:noProof/>
                <w:szCs w:val="20"/>
              </w:rPr>
              <w:t>1</w:t>
            </w:r>
            <w:r w:rsidR="005934B2">
              <w:rPr>
                <w:rFonts w:eastAsiaTheme="minorEastAsia"/>
                <w:noProof/>
                <w:color w:val="auto"/>
                <w:lang w:val="sr-Cyrl-RS" w:eastAsia="sr-Latn-RS"/>
              </w:rPr>
              <w:t xml:space="preserve">     </w:t>
            </w:r>
            <w:r w:rsidR="005934B2" w:rsidRPr="005767EF">
              <w:rPr>
                <w:rStyle w:val="Hyperlink"/>
                <w:rFonts w:eastAsiaTheme="minorHAnsi"/>
                <w:noProof/>
                <w:szCs w:val="20"/>
              </w:rPr>
              <w:t xml:space="preserve">ORGANIZACIJA I NAČIN RADA GARANTNOG FONDA </w:t>
            </w:r>
            <w:r w:rsidR="005934B2" w:rsidRPr="005767EF">
              <w:rPr>
                <w:rStyle w:val="Hyperlink"/>
                <w:rFonts w:eastAsiaTheme="minorHAnsi"/>
                <w:noProof/>
                <w:szCs w:val="20"/>
                <w:lang w:val="sr-Cyrl-BA"/>
              </w:rPr>
              <w:t>REPUBLIKE SRPSKE</w:t>
            </w:r>
            <w:r w:rsidR="005934B2" w:rsidRPr="005767EF">
              <w:rPr>
                <w:noProof/>
                <w:webHidden/>
              </w:rPr>
              <w:tab/>
            </w:r>
            <w:r w:rsidR="005934B2" w:rsidRPr="005767EF">
              <w:rPr>
                <w:noProof/>
                <w:webHidden/>
              </w:rPr>
              <w:fldChar w:fldCharType="begin"/>
            </w:r>
            <w:r w:rsidR="005934B2" w:rsidRPr="005767EF">
              <w:rPr>
                <w:noProof/>
                <w:webHidden/>
              </w:rPr>
              <w:instrText xml:space="preserve"> PAGEREF _Toc135292167 \h </w:instrText>
            </w:r>
            <w:r w:rsidR="005934B2" w:rsidRPr="005767EF">
              <w:rPr>
                <w:noProof/>
                <w:webHidden/>
              </w:rPr>
            </w:r>
            <w:r w:rsidR="005934B2" w:rsidRPr="005767EF">
              <w:rPr>
                <w:noProof/>
                <w:webHidden/>
              </w:rPr>
              <w:fldChar w:fldCharType="separate"/>
            </w:r>
            <w:r w:rsidR="005934B2">
              <w:rPr>
                <w:noProof/>
                <w:webHidden/>
              </w:rPr>
              <w:t>3</w:t>
            </w:r>
            <w:r w:rsidR="005934B2" w:rsidRPr="005767EF">
              <w:rPr>
                <w:noProof/>
                <w:webHidden/>
              </w:rPr>
              <w:fldChar w:fldCharType="end"/>
            </w:r>
          </w:hyperlink>
        </w:p>
        <w:p w:rsidR="005934B2" w:rsidRPr="005767EF" w:rsidRDefault="000472AB" w:rsidP="00A401F8">
          <w:pPr>
            <w:pStyle w:val="TOC1"/>
            <w:tabs>
              <w:tab w:val="clear" w:pos="284"/>
              <w:tab w:val="left" w:pos="426"/>
              <w:tab w:val="left" w:pos="709"/>
            </w:tabs>
            <w:rPr>
              <w:rFonts w:eastAsiaTheme="minorEastAsia"/>
              <w:noProof/>
              <w:color w:val="auto"/>
              <w:lang w:val="sr-Latn-RS" w:eastAsia="sr-Latn-RS"/>
            </w:rPr>
          </w:pPr>
          <w:hyperlink w:anchor="_Toc135292168" w:history="1">
            <w:r w:rsidR="005934B2">
              <w:rPr>
                <w:rStyle w:val="Hyperlink"/>
                <w:rFonts w:eastAsiaTheme="minorHAnsi"/>
                <w:noProof/>
                <w:szCs w:val="20"/>
              </w:rPr>
              <w:t>2</w:t>
            </w:r>
            <w:r w:rsidR="005934B2">
              <w:rPr>
                <w:rFonts w:eastAsiaTheme="minorEastAsia"/>
                <w:noProof/>
                <w:color w:val="auto"/>
                <w:lang w:val="sr-Cyrl-RS" w:eastAsia="sr-Latn-RS"/>
              </w:rPr>
              <w:t xml:space="preserve">     </w:t>
            </w:r>
            <w:r w:rsidR="005934B2">
              <w:rPr>
                <w:rStyle w:val="Hyperlink"/>
                <w:rFonts w:eastAsiaTheme="minorHAnsi"/>
                <w:noProof/>
                <w:szCs w:val="20"/>
              </w:rPr>
              <w:t>ANALIZA IZDANIH</w:t>
            </w:r>
            <w:r w:rsidR="005934B2" w:rsidRPr="005767EF">
              <w:rPr>
                <w:rStyle w:val="Hyperlink"/>
                <w:rFonts w:eastAsiaTheme="minorHAnsi"/>
                <w:noProof/>
                <w:szCs w:val="20"/>
              </w:rPr>
              <w:t xml:space="preserve"> GARANCIJA U 202</w:t>
            </w:r>
            <w:r w:rsidR="005934B2">
              <w:rPr>
                <w:rStyle w:val="Hyperlink"/>
                <w:rFonts w:eastAsiaTheme="minorHAnsi"/>
                <w:noProof/>
                <w:szCs w:val="20"/>
                <w:lang w:val="sr-Cyrl-RS"/>
              </w:rPr>
              <w:t>4</w:t>
            </w:r>
            <w:r w:rsidR="005934B2" w:rsidRPr="005767EF">
              <w:rPr>
                <w:rStyle w:val="Hyperlink"/>
                <w:rFonts w:eastAsiaTheme="minorHAnsi"/>
                <w:noProof/>
                <w:szCs w:val="20"/>
              </w:rPr>
              <w:t>. GODINI</w:t>
            </w:r>
            <w:r w:rsidR="005934B2" w:rsidRPr="005767EF">
              <w:rPr>
                <w:noProof/>
                <w:webHidden/>
              </w:rPr>
              <w:tab/>
            </w:r>
            <w:r w:rsidR="005934B2" w:rsidRPr="005767EF">
              <w:rPr>
                <w:noProof/>
                <w:webHidden/>
              </w:rPr>
              <w:fldChar w:fldCharType="begin"/>
            </w:r>
            <w:r w:rsidR="005934B2" w:rsidRPr="005767EF">
              <w:rPr>
                <w:noProof/>
                <w:webHidden/>
              </w:rPr>
              <w:instrText xml:space="preserve"> PAGEREF _Toc135292168 \h </w:instrText>
            </w:r>
            <w:r w:rsidR="005934B2" w:rsidRPr="005767EF">
              <w:rPr>
                <w:noProof/>
                <w:webHidden/>
              </w:rPr>
            </w:r>
            <w:r w:rsidR="005934B2" w:rsidRPr="005767EF">
              <w:rPr>
                <w:noProof/>
                <w:webHidden/>
              </w:rPr>
              <w:fldChar w:fldCharType="separate"/>
            </w:r>
            <w:r w:rsidR="005934B2">
              <w:rPr>
                <w:noProof/>
                <w:webHidden/>
              </w:rPr>
              <w:t>4</w:t>
            </w:r>
            <w:r w:rsidR="005934B2" w:rsidRPr="005767EF">
              <w:rPr>
                <w:noProof/>
                <w:webHidden/>
              </w:rPr>
              <w:fldChar w:fldCharType="end"/>
            </w:r>
          </w:hyperlink>
        </w:p>
        <w:p w:rsidR="005934B2" w:rsidRPr="003B5CD3" w:rsidRDefault="005934B2" w:rsidP="00A401F8">
          <w:pPr>
            <w:pStyle w:val="Heading2"/>
            <w:numPr>
              <w:ilvl w:val="0"/>
              <w:numId w:val="0"/>
            </w:numPr>
            <w:ind w:left="426" w:hanging="426"/>
            <w:rPr>
              <w:rFonts w:asciiTheme="minorHAnsi" w:hAnsiTheme="minorHAnsi"/>
              <w:color w:val="000000" w:themeColor="text1"/>
              <w:szCs w:val="20"/>
            </w:rPr>
          </w:pPr>
          <w:r>
            <w:rPr>
              <w:lang w:val="sr-Cyrl-RS"/>
            </w:rPr>
            <w:t xml:space="preserve">        </w:t>
          </w:r>
          <w:hyperlink w:anchor="_Toc135292169" w:history="1">
            <w:r>
              <w:rPr>
                <w:rStyle w:val="Hyperlink"/>
                <w:noProof/>
                <w:szCs w:val="20"/>
              </w:rPr>
              <w:t>2</w:t>
            </w:r>
            <w:r w:rsidRPr="005767EF">
              <w:rPr>
                <w:rStyle w:val="Hyperlink"/>
                <w:noProof/>
                <w:szCs w:val="20"/>
              </w:rPr>
              <w:t>.1</w:t>
            </w:r>
            <w:r>
              <w:rPr>
                <w:rFonts w:eastAsiaTheme="minorEastAsia"/>
                <w:noProof/>
                <w:lang w:val="sr-Cyrl-RS" w:eastAsia="sr-Latn-RS"/>
              </w:rPr>
              <w:t xml:space="preserve"> </w:t>
            </w:r>
            <w:r>
              <w:rPr>
                <w:rFonts w:asciiTheme="minorHAnsi" w:hAnsiTheme="minorHAnsi"/>
                <w:color w:val="000000" w:themeColor="text1"/>
                <w:szCs w:val="20"/>
                <w:lang w:val="sr-Cyrl-RS"/>
              </w:rPr>
              <w:t>PREGLED STATUSA</w:t>
            </w:r>
            <w:r w:rsidRPr="00847319">
              <w:rPr>
                <w:rFonts w:asciiTheme="minorHAnsi" w:hAnsiTheme="minorHAnsi"/>
                <w:color w:val="000000" w:themeColor="text1"/>
                <w:szCs w:val="20"/>
              </w:rPr>
              <w:t xml:space="preserve"> GARANCIJA U </w:t>
            </w:r>
            <w:r>
              <w:rPr>
                <w:rFonts w:asciiTheme="minorHAnsi" w:hAnsiTheme="minorHAnsi"/>
                <w:color w:val="000000" w:themeColor="text1"/>
                <w:szCs w:val="20"/>
                <w:lang w:val="sr-Cyrl-RS"/>
              </w:rPr>
              <w:t>OKVIRU GARANTNIH LINIJA..............</w:t>
            </w:r>
            <w:r w:rsidR="00E17709">
              <w:rPr>
                <w:rFonts w:asciiTheme="minorHAnsi" w:hAnsiTheme="minorHAnsi"/>
                <w:color w:val="000000" w:themeColor="text1"/>
                <w:szCs w:val="20"/>
                <w:lang w:val="bs-Latn-BA"/>
              </w:rPr>
              <w:t>......</w:t>
            </w:r>
            <w:r>
              <w:rPr>
                <w:rFonts w:asciiTheme="minorHAnsi" w:hAnsiTheme="minorHAnsi"/>
                <w:color w:val="000000" w:themeColor="text1"/>
                <w:szCs w:val="20"/>
                <w:lang w:val="sr-Cyrl-RS"/>
              </w:rPr>
              <w:t>......................................</w:t>
            </w:r>
            <w:r w:rsidRPr="005767EF">
              <w:rPr>
                <w:noProof/>
                <w:webHidden/>
              </w:rPr>
              <w:fldChar w:fldCharType="begin"/>
            </w:r>
            <w:r w:rsidRPr="005767EF">
              <w:rPr>
                <w:noProof/>
                <w:webHidden/>
              </w:rPr>
              <w:instrText xml:space="preserve"> PAGEREF _Toc135292169 \h </w:instrText>
            </w:r>
            <w:r w:rsidRPr="005767EF">
              <w:rPr>
                <w:noProof/>
                <w:webHidden/>
              </w:rPr>
            </w:r>
            <w:r w:rsidRPr="005767EF">
              <w:rPr>
                <w:noProof/>
                <w:webHidden/>
              </w:rPr>
              <w:fldChar w:fldCharType="separate"/>
            </w:r>
            <w:r>
              <w:rPr>
                <w:noProof/>
                <w:webHidden/>
              </w:rPr>
              <w:t>4</w:t>
            </w:r>
            <w:r w:rsidRPr="005767EF">
              <w:rPr>
                <w:noProof/>
                <w:webHidden/>
              </w:rPr>
              <w:fldChar w:fldCharType="end"/>
            </w:r>
          </w:hyperlink>
        </w:p>
        <w:p w:rsidR="005934B2" w:rsidRPr="00444987" w:rsidRDefault="005934B2" w:rsidP="00A401F8">
          <w:pPr>
            <w:pStyle w:val="TOC2"/>
            <w:rPr>
              <w:rFonts w:eastAsiaTheme="minorEastAsia"/>
              <w:noProof/>
              <w:color w:val="auto"/>
              <w:lang w:val="sr-Cyrl-RS" w:eastAsia="sr-Latn-RS"/>
            </w:rPr>
          </w:pPr>
          <w:r>
            <w:rPr>
              <w:lang w:val="sr-Cyrl-RS"/>
            </w:rPr>
            <w:t xml:space="preserve">        </w:t>
          </w:r>
          <w:hyperlink w:anchor="_Toc135292170" w:history="1">
            <w:r>
              <w:rPr>
                <w:rStyle w:val="Hyperlink"/>
                <w:noProof/>
                <w:szCs w:val="20"/>
              </w:rPr>
              <w:t>2</w:t>
            </w:r>
            <w:r w:rsidRPr="005767EF">
              <w:rPr>
                <w:rStyle w:val="Hyperlink"/>
                <w:noProof/>
                <w:szCs w:val="20"/>
              </w:rPr>
              <w:t>.2</w:t>
            </w:r>
            <w:r w:rsidRPr="00E902E2">
              <w:rPr>
                <w:lang w:val="sr-Latn-RS" w:eastAsia="sr-Latn-RS"/>
              </w:rPr>
              <w:t xml:space="preserve"> </w:t>
            </w:r>
            <w:r w:rsidRPr="00E902E2">
              <w:rPr>
                <w:rStyle w:val="Hyperlink"/>
                <w:noProof/>
                <w:szCs w:val="20"/>
              </w:rPr>
              <w:t>ANALIZA GARANCIJA U OKVIRU KREDITNOG PORTFELjA</w:t>
            </w:r>
            <w:r w:rsidRPr="005767EF">
              <w:rPr>
                <w:rFonts w:eastAsiaTheme="minorEastAsia"/>
                <w:noProof/>
                <w:color w:val="auto"/>
                <w:lang w:val="sr-Latn-RS" w:eastAsia="sr-Latn-RS"/>
              </w:rPr>
              <w:tab/>
            </w:r>
            <w:r>
              <w:rPr>
                <w:noProof/>
                <w:webHidden/>
                <w:lang w:val="sr-Cyrl-RS"/>
              </w:rPr>
              <w:t>9</w:t>
            </w:r>
          </w:hyperlink>
        </w:p>
        <w:p w:rsidR="005934B2" w:rsidRPr="00EA08D5" w:rsidRDefault="005934B2" w:rsidP="00A401F8">
          <w:pPr>
            <w:pStyle w:val="TOC2"/>
            <w:rPr>
              <w:rFonts w:eastAsiaTheme="minorEastAsia"/>
              <w:noProof/>
              <w:color w:val="auto"/>
              <w:lang w:val="sr-Cyrl-RS" w:eastAsia="sr-Latn-RS"/>
            </w:rPr>
          </w:pPr>
          <w:r>
            <w:rPr>
              <w:lang w:val="sr-Cyrl-RS"/>
            </w:rPr>
            <w:t xml:space="preserve">        </w:t>
          </w:r>
          <w:hyperlink w:anchor="_Toc135292171" w:history="1">
            <w:r>
              <w:rPr>
                <w:rStyle w:val="Hyperlink"/>
                <w:noProof/>
                <w:szCs w:val="20"/>
              </w:rPr>
              <w:t>2</w:t>
            </w:r>
            <w:r w:rsidR="00E17709">
              <w:rPr>
                <w:rStyle w:val="Hyperlink"/>
                <w:noProof/>
                <w:szCs w:val="20"/>
              </w:rPr>
              <w:t xml:space="preserve">.3 </w:t>
            </w:r>
            <w:r w:rsidRPr="00EA08D5">
              <w:rPr>
                <w:rFonts w:eastAsiaTheme="minorEastAsia"/>
                <w:noProof/>
                <w:color w:val="auto"/>
                <w:lang w:val="sr-Latn-RS" w:eastAsia="sr-Latn-RS"/>
              </w:rPr>
              <w:t xml:space="preserve">ANALIZA  </w:t>
            </w:r>
            <w:r>
              <w:rPr>
                <w:rFonts w:eastAsiaTheme="minorEastAsia"/>
                <w:noProof/>
                <w:color w:val="auto"/>
                <w:lang w:val="sr-Cyrl-RS" w:eastAsia="sr-Latn-RS"/>
              </w:rPr>
              <w:t>GARANCIJA</w:t>
            </w:r>
          </w:hyperlink>
          <w:r>
            <w:rPr>
              <w:noProof/>
              <w:lang w:val="sr-Cyrl-RS"/>
            </w:rPr>
            <w:t xml:space="preserve"> NA EMITOVANE HARTIJE OD VRIJEDNOSTI................</w:t>
          </w:r>
          <w:r w:rsidR="00E17709">
            <w:rPr>
              <w:noProof/>
            </w:rPr>
            <w:t>........</w:t>
          </w:r>
          <w:r>
            <w:rPr>
              <w:noProof/>
              <w:lang w:val="sr-Cyrl-RS"/>
            </w:rPr>
            <w:t>......</w:t>
          </w:r>
          <w:r>
            <w:rPr>
              <w:noProof/>
            </w:rPr>
            <w:t>.................</w:t>
          </w:r>
          <w:r>
            <w:rPr>
              <w:noProof/>
              <w:lang w:val="sr-Cyrl-RS"/>
            </w:rPr>
            <w:t>....16</w:t>
          </w:r>
        </w:p>
        <w:p w:rsidR="005934B2" w:rsidRDefault="005934B2" w:rsidP="00A401F8">
          <w:pPr>
            <w:pStyle w:val="TOC2"/>
            <w:rPr>
              <w:noProof/>
              <w:lang w:val="sr-Cyrl-RS"/>
            </w:rPr>
          </w:pPr>
          <w:r>
            <w:rPr>
              <w:lang w:val="sr-Cyrl-RS"/>
            </w:rPr>
            <w:t xml:space="preserve">        </w:t>
          </w:r>
          <w:r>
            <w:fldChar w:fldCharType="begin"/>
          </w:r>
          <w:r>
            <w:instrText xml:space="preserve"> HYPERLINK \l "_Toc135292172" </w:instrText>
          </w:r>
          <w:r>
            <w:fldChar w:fldCharType="separate"/>
          </w:r>
          <w:r>
            <w:rPr>
              <w:rStyle w:val="Hyperlink"/>
              <w:noProof/>
              <w:szCs w:val="20"/>
            </w:rPr>
            <w:t>2</w:t>
          </w:r>
          <w:r w:rsidRPr="005767EF">
            <w:rPr>
              <w:rStyle w:val="Hyperlink"/>
              <w:noProof/>
              <w:szCs w:val="20"/>
            </w:rPr>
            <w:t>.4</w:t>
          </w:r>
          <w:r w:rsidRPr="00E902E2">
            <w:rPr>
              <w:noProof/>
            </w:rPr>
            <w:t xml:space="preserve"> </w:t>
          </w:r>
          <w:r w:rsidRPr="00EA08D5">
            <w:rPr>
              <w:noProof/>
            </w:rPr>
            <w:t>ANALIZA IZLOŽENOSTI GARANTNOG FONDA REPUBLIKE SRPSKE PREMA FINANSIJSKI</w:t>
          </w:r>
          <w:r>
            <w:rPr>
              <w:noProof/>
            </w:rPr>
            <w:t>M</w:t>
          </w:r>
        </w:p>
        <w:p w:rsidR="005934B2" w:rsidRPr="00E902E2" w:rsidRDefault="005934B2" w:rsidP="00A401F8">
          <w:pPr>
            <w:pStyle w:val="TOC2"/>
            <w:rPr>
              <w:noProof/>
            </w:rPr>
          </w:pPr>
          <w:r>
            <w:rPr>
              <w:noProof/>
              <w:lang w:val="sr-Cyrl-RS"/>
            </w:rPr>
            <w:t xml:space="preserve">              </w:t>
          </w:r>
          <w:r>
            <w:rPr>
              <w:noProof/>
            </w:rPr>
            <w:t xml:space="preserve"> POSREDNICIMA NA DAN 31.12.202</w:t>
          </w:r>
          <w:r>
            <w:rPr>
              <w:noProof/>
              <w:lang w:val="sr-Cyrl-RS"/>
            </w:rPr>
            <w:t>4</w:t>
          </w:r>
          <w:r w:rsidRPr="00EA08D5">
            <w:rPr>
              <w:noProof/>
            </w:rPr>
            <w:t>.</w:t>
          </w:r>
          <w:r>
            <w:rPr>
              <w:noProof/>
            </w:rPr>
            <w:t xml:space="preserve"> </w:t>
          </w:r>
          <w:r>
            <w:rPr>
              <w:noProof/>
              <w:lang w:val="sr-Cyrl-RS"/>
            </w:rPr>
            <w:t>GODINE</w:t>
          </w:r>
          <w:r w:rsidRPr="005767EF">
            <w:rPr>
              <w:rFonts w:eastAsiaTheme="minorEastAsia"/>
              <w:noProof/>
              <w:color w:val="auto"/>
              <w:lang w:val="sr-Latn-RS" w:eastAsia="sr-Latn-RS"/>
            </w:rPr>
            <w:tab/>
          </w:r>
          <w:r>
            <w:rPr>
              <w:rFonts w:eastAsiaTheme="minorEastAsia"/>
              <w:noProof/>
              <w:color w:val="auto"/>
              <w:lang w:val="sr-Latn-RS" w:eastAsia="sr-Latn-RS"/>
            </w:rPr>
            <w:fldChar w:fldCharType="end"/>
          </w:r>
          <w:r w:rsidRPr="00EA08D5">
            <w:rPr>
              <w:noProof/>
              <w:webHidden/>
            </w:rPr>
            <w:fldChar w:fldCharType="begin"/>
          </w:r>
          <w:r w:rsidRPr="00EA08D5">
            <w:rPr>
              <w:noProof/>
              <w:webHidden/>
            </w:rPr>
            <w:instrText xml:space="preserve"> PAGEREF _Toc135292171 \h </w:instrText>
          </w:r>
          <w:r w:rsidRPr="00EA08D5">
            <w:rPr>
              <w:noProof/>
              <w:webHidden/>
            </w:rPr>
          </w:r>
          <w:r w:rsidRPr="00EA08D5">
            <w:rPr>
              <w:noProof/>
              <w:webHidden/>
            </w:rPr>
            <w:fldChar w:fldCharType="separate"/>
          </w:r>
          <w:r>
            <w:rPr>
              <w:noProof/>
              <w:webHidden/>
            </w:rPr>
            <w:t>15</w:t>
          </w:r>
          <w:r w:rsidRPr="00EA08D5">
            <w:rPr>
              <w:noProof/>
              <w:webHidden/>
            </w:rPr>
            <w:fldChar w:fldCharType="end"/>
          </w:r>
        </w:p>
        <w:p w:rsidR="005934B2" w:rsidRPr="005767EF" w:rsidRDefault="005934B2" w:rsidP="00A401F8">
          <w:pPr>
            <w:pStyle w:val="TOC2"/>
            <w:rPr>
              <w:rFonts w:eastAsiaTheme="minorEastAsia"/>
              <w:noProof/>
              <w:color w:val="auto"/>
              <w:lang w:val="sr-Latn-RS" w:eastAsia="sr-Latn-RS"/>
            </w:rPr>
          </w:pPr>
          <w:r>
            <w:rPr>
              <w:lang w:val="sr-Cyrl-RS"/>
            </w:rPr>
            <w:t xml:space="preserve">        </w:t>
          </w:r>
          <w:hyperlink w:anchor="_Toc135292173" w:history="1">
            <w:r>
              <w:rPr>
                <w:rStyle w:val="Hyperlink"/>
                <w:caps/>
                <w:noProof/>
                <w:szCs w:val="20"/>
                <w:lang w:val="sr-Latn-RS" w:eastAsia="en-US"/>
              </w:rPr>
              <w:t>2</w:t>
            </w:r>
            <w:r w:rsidRPr="005767EF">
              <w:rPr>
                <w:rStyle w:val="Hyperlink"/>
                <w:caps/>
                <w:noProof/>
                <w:szCs w:val="20"/>
                <w:lang w:val="sr-Latn-RS" w:eastAsia="en-US"/>
              </w:rPr>
              <w:t>.5</w:t>
            </w:r>
            <w:r w:rsidRPr="00E902E2">
              <w:t xml:space="preserve"> </w:t>
            </w:r>
            <w:r w:rsidRPr="00E902E2">
              <w:rPr>
                <w:rStyle w:val="Hyperlink"/>
                <w:caps/>
                <w:noProof/>
                <w:szCs w:val="20"/>
                <w:lang w:val="sr-Latn-RS" w:eastAsia="en-US"/>
              </w:rPr>
              <w:t>analiza garancija iz GARANTNOG programa COVID-19 na dan 31.12.2024. godine</w:t>
            </w:r>
            <w:r w:rsidRPr="005767EF">
              <w:rPr>
                <w:rFonts w:eastAsiaTheme="minorEastAsia"/>
                <w:noProof/>
                <w:color w:val="auto"/>
                <w:lang w:val="sr-Latn-RS" w:eastAsia="sr-Latn-RS"/>
              </w:rPr>
              <w:tab/>
            </w:r>
            <w:r w:rsidRPr="005767EF">
              <w:rPr>
                <w:noProof/>
                <w:webHidden/>
              </w:rPr>
              <w:fldChar w:fldCharType="begin"/>
            </w:r>
            <w:r w:rsidRPr="005767EF">
              <w:rPr>
                <w:noProof/>
                <w:webHidden/>
              </w:rPr>
              <w:instrText xml:space="preserve"> PAGEREF _Toc135292173 \h </w:instrText>
            </w:r>
            <w:r w:rsidRPr="005767EF">
              <w:rPr>
                <w:noProof/>
                <w:webHidden/>
              </w:rPr>
            </w:r>
            <w:r w:rsidRPr="005767EF">
              <w:rPr>
                <w:noProof/>
                <w:webHidden/>
              </w:rPr>
              <w:fldChar w:fldCharType="separate"/>
            </w:r>
            <w:r>
              <w:rPr>
                <w:noProof/>
                <w:webHidden/>
              </w:rPr>
              <w:t>17</w:t>
            </w:r>
            <w:r w:rsidRPr="005767EF">
              <w:rPr>
                <w:noProof/>
                <w:webHidden/>
              </w:rPr>
              <w:fldChar w:fldCharType="end"/>
            </w:r>
          </w:hyperlink>
        </w:p>
        <w:p w:rsidR="005934B2" w:rsidRPr="005767EF" w:rsidRDefault="000472AB" w:rsidP="00A401F8">
          <w:pPr>
            <w:pStyle w:val="TOC1"/>
            <w:tabs>
              <w:tab w:val="left" w:pos="426"/>
              <w:tab w:val="left" w:pos="709"/>
            </w:tabs>
            <w:rPr>
              <w:rFonts w:eastAsiaTheme="minorEastAsia"/>
              <w:noProof/>
              <w:color w:val="auto"/>
              <w:lang w:val="sr-Latn-RS" w:eastAsia="sr-Latn-RS"/>
            </w:rPr>
          </w:pPr>
          <w:hyperlink w:anchor="_Toc135292174" w:history="1">
            <w:r w:rsidR="005934B2">
              <w:rPr>
                <w:rStyle w:val="Hyperlink"/>
                <w:noProof/>
                <w:szCs w:val="20"/>
              </w:rPr>
              <w:t>3</w:t>
            </w:r>
            <w:r w:rsidR="005934B2" w:rsidRPr="005767EF">
              <w:rPr>
                <w:rFonts w:eastAsiaTheme="minorEastAsia"/>
                <w:noProof/>
                <w:color w:val="auto"/>
                <w:lang w:val="sr-Latn-RS" w:eastAsia="sr-Latn-RS"/>
              </w:rPr>
              <w:tab/>
            </w:r>
            <w:r w:rsidR="005934B2">
              <w:rPr>
                <w:rFonts w:eastAsiaTheme="minorEastAsia"/>
                <w:noProof/>
                <w:color w:val="auto"/>
                <w:lang w:val="sr-Cyrl-RS" w:eastAsia="sr-Latn-RS"/>
              </w:rPr>
              <w:t xml:space="preserve"> </w:t>
            </w:r>
            <w:r w:rsidR="005934B2" w:rsidRPr="005767EF">
              <w:rPr>
                <w:rStyle w:val="Hyperlink"/>
                <w:noProof/>
                <w:szCs w:val="20"/>
              </w:rPr>
              <w:t xml:space="preserve">ANALIZA </w:t>
            </w:r>
            <w:r w:rsidR="005934B2" w:rsidRPr="005767EF">
              <w:rPr>
                <w:rStyle w:val="Hyperlink"/>
                <w:noProof/>
                <w:szCs w:val="20"/>
                <w:lang w:val="sr-Cyrl-BA"/>
              </w:rPr>
              <w:t xml:space="preserve">FINANSIJSKOG </w:t>
            </w:r>
            <w:r w:rsidR="005934B2">
              <w:rPr>
                <w:rStyle w:val="Hyperlink"/>
                <w:noProof/>
                <w:szCs w:val="20"/>
                <w:lang w:val="sr-Cyrl-BA"/>
              </w:rPr>
              <w:t>REZULTATA</w:t>
            </w:r>
            <w:r w:rsidR="005934B2">
              <w:rPr>
                <w:rStyle w:val="Hyperlink"/>
                <w:noProof/>
                <w:szCs w:val="20"/>
              </w:rPr>
              <w:t xml:space="preserve"> </w:t>
            </w:r>
            <w:r w:rsidR="005934B2">
              <w:rPr>
                <w:rStyle w:val="Hyperlink"/>
                <w:noProof/>
                <w:szCs w:val="20"/>
                <w:lang w:val="sr-Cyrl-RS"/>
              </w:rPr>
              <w:t>U</w:t>
            </w:r>
            <w:r w:rsidR="005934B2" w:rsidRPr="005767EF">
              <w:rPr>
                <w:rStyle w:val="Hyperlink"/>
                <w:noProof/>
                <w:szCs w:val="20"/>
              </w:rPr>
              <w:t xml:space="preserve"> 202</w:t>
            </w:r>
            <w:r w:rsidR="005934B2">
              <w:rPr>
                <w:rStyle w:val="Hyperlink"/>
                <w:noProof/>
                <w:szCs w:val="20"/>
                <w:lang w:val="sr-Cyrl-RS"/>
              </w:rPr>
              <w:t>4</w:t>
            </w:r>
            <w:r w:rsidR="005934B2" w:rsidRPr="005767EF">
              <w:rPr>
                <w:rStyle w:val="Hyperlink"/>
                <w:noProof/>
                <w:szCs w:val="20"/>
              </w:rPr>
              <w:t xml:space="preserve">. </w:t>
            </w:r>
            <w:r w:rsidR="005934B2">
              <w:rPr>
                <w:rStyle w:val="Hyperlink"/>
                <w:noProof/>
                <w:szCs w:val="20"/>
              </w:rPr>
              <w:t>GODIN</w:t>
            </w:r>
            <w:r w:rsidR="005934B2">
              <w:rPr>
                <w:rStyle w:val="Hyperlink"/>
                <w:noProof/>
                <w:szCs w:val="20"/>
                <w:lang w:val="sr-Cyrl-RS"/>
              </w:rPr>
              <w:t>I</w:t>
            </w:r>
            <w:r w:rsidR="005934B2" w:rsidRPr="005767EF">
              <w:rPr>
                <w:noProof/>
                <w:webHidden/>
              </w:rPr>
              <w:tab/>
            </w:r>
            <w:r w:rsidR="005934B2" w:rsidRPr="005767EF">
              <w:rPr>
                <w:noProof/>
                <w:webHidden/>
              </w:rPr>
              <w:fldChar w:fldCharType="begin"/>
            </w:r>
            <w:r w:rsidR="005934B2" w:rsidRPr="005767EF">
              <w:rPr>
                <w:noProof/>
                <w:webHidden/>
              </w:rPr>
              <w:instrText xml:space="preserve"> PAGEREF _Toc135292174 \h </w:instrText>
            </w:r>
            <w:r w:rsidR="005934B2" w:rsidRPr="005767EF">
              <w:rPr>
                <w:noProof/>
                <w:webHidden/>
              </w:rPr>
            </w:r>
            <w:r w:rsidR="005934B2" w:rsidRPr="005767EF">
              <w:rPr>
                <w:noProof/>
                <w:webHidden/>
              </w:rPr>
              <w:fldChar w:fldCharType="separate"/>
            </w:r>
            <w:r w:rsidR="005934B2">
              <w:rPr>
                <w:noProof/>
                <w:webHidden/>
              </w:rPr>
              <w:t>20</w:t>
            </w:r>
            <w:r w:rsidR="005934B2" w:rsidRPr="005767EF">
              <w:rPr>
                <w:noProof/>
                <w:webHidden/>
              </w:rPr>
              <w:fldChar w:fldCharType="end"/>
            </w:r>
          </w:hyperlink>
        </w:p>
        <w:p w:rsidR="005934B2" w:rsidRPr="005767EF" w:rsidRDefault="005934B2" w:rsidP="00A401F8">
          <w:pPr>
            <w:pStyle w:val="TOC2"/>
            <w:rPr>
              <w:rFonts w:eastAsiaTheme="minorEastAsia"/>
              <w:noProof/>
              <w:color w:val="auto"/>
              <w:lang w:val="sr-Latn-RS" w:eastAsia="sr-Latn-RS"/>
            </w:rPr>
          </w:pPr>
          <w:r>
            <w:rPr>
              <w:lang w:val="sr-Cyrl-RS"/>
            </w:rPr>
            <w:t xml:space="preserve">        </w:t>
          </w:r>
          <w:hyperlink w:anchor="_Toc135292175" w:history="1">
            <w:r>
              <w:rPr>
                <w:rStyle w:val="Hyperlink"/>
                <w:noProof/>
                <w:szCs w:val="20"/>
              </w:rPr>
              <w:t>3</w:t>
            </w:r>
            <w:r w:rsidRPr="005767EF">
              <w:rPr>
                <w:rStyle w:val="Hyperlink"/>
                <w:noProof/>
                <w:szCs w:val="20"/>
              </w:rPr>
              <w:t>.1</w:t>
            </w:r>
            <w:r w:rsidRPr="00E902E2">
              <w:t xml:space="preserve"> </w:t>
            </w:r>
            <w:r w:rsidRPr="00E902E2">
              <w:rPr>
                <w:rStyle w:val="Hyperlink"/>
                <w:noProof/>
                <w:szCs w:val="20"/>
              </w:rPr>
              <w:t>ANALIZA OSTVARENIH PRIHODA U 2024.GODINI</w:t>
            </w:r>
            <w:r w:rsidRPr="005767EF">
              <w:rPr>
                <w:noProof/>
                <w:webHidden/>
              </w:rPr>
              <w:tab/>
            </w:r>
            <w:r w:rsidRPr="005767EF">
              <w:rPr>
                <w:noProof/>
                <w:webHidden/>
              </w:rPr>
              <w:fldChar w:fldCharType="begin"/>
            </w:r>
            <w:r w:rsidRPr="005767EF">
              <w:rPr>
                <w:noProof/>
                <w:webHidden/>
              </w:rPr>
              <w:instrText xml:space="preserve"> PAGEREF _Toc135292175 \h </w:instrText>
            </w:r>
            <w:r w:rsidRPr="005767EF">
              <w:rPr>
                <w:noProof/>
                <w:webHidden/>
              </w:rPr>
            </w:r>
            <w:r w:rsidRPr="005767EF">
              <w:rPr>
                <w:noProof/>
                <w:webHidden/>
              </w:rPr>
              <w:fldChar w:fldCharType="separate"/>
            </w:r>
            <w:r>
              <w:rPr>
                <w:noProof/>
                <w:webHidden/>
              </w:rPr>
              <w:t>20</w:t>
            </w:r>
            <w:r w:rsidRPr="005767EF">
              <w:rPr>
                <w:noProof/>
                <w:webHidden/>
              </w:rPr>
              <w:fldChar w:fldCharType="end"/>
            </w:r>
          </w:hyperlink>
        </w:p>
        <w:p w:rsidR="005934B2" w:rsidRPr="005767EF" w:rsidRDefault="005934B2" w:rsidP="00A401F8">
          <w:pPr>
            <w:pStyle w:val="TOC2"/>
            <w:rPr>
              <w:rFonts w:eastAsiaTheme="minorEastAsia"/>
              <w:noProof/>
              <w:color w:val="auto"/>
              <w:lang w:val="sr-Latn-RS" w:eastAsia="sr-Latn-RS"/>
            </w:rPr>
          </w:pPr>
          <w:r>
            <w:rPr>
              <w:lang w:val="sr-Cyrl-RS"/>
            </w:rPr>
            <w:t xml:space="preserve">        </w:t>
          </w:r>
          <w:hyperlink w:anchor="_Toc135292176" w:history="1">
            <w:r>
              <w:rPr>
                <w:rStyle w:val="Hyperlink"/>
                <w:noProof/>
                <w:szCs w:val="20"/>
              </w:rPr>
              <w:t>3</w:t>
            </w:r>
            <w:r w:rsidRPr="005767EF">
              <w:rPr>
                <w:rStyle w:val="Hyperlink"/>
                <w:noProof/>
                <w:szCs w:val="20"/>
              </w:rPr>
              <w:t>.2</w:t>
            </w:r>
            <w:r w:rsidRPr="00E902E2">
              <w:t xml:space="preserve"> </w:t>
            </w:r>
            <w:r w:rsidRPr="00E902E2">
              <w:rPr>
                <w:rStyle w:val="Hyperlink"/>
                <w:noProof/>
                <w:szCs w:val="20"/>
              </w:rPr>
              <w:t>ANALIZA OSTVARENIH RASHODA U 2024. GODINI</w:t>
            </w:r>
            <w:r w:rsidRPr="005767EF">
              <w:rPr>
                <w:noProof/>
                <w:webHidden/>
              </w:rPr>
              <w:tab/>
            </w:r>
            <w:r w:rsidRPr="005767EF">
              <w:rPr>
                <w:noProof/>
                <w:webHidden/>
              </w:rPr>
              <w:fldChar w:fldCharType="begin"/>
            </w:r>
            <w:r w:rsidRPr="005767EF">
              <w:rPr>
                <w:noProof/>
                <w:webHidden/>
              </w:rPr>
              <w:instrText xml:space="preserve"> PAGEREF _Toc135292176 \h </w:instrText>
            </w:r>
            <w:r w:rsidRPr="005767EF">
              <w:rPr>
                <w:noProof/>
                <w:webHidden/>
              </w:rPr>
            </w:r>
            <w:r w:rsidRPr="005767EF">
              <w:rPr>
                <w:noProof/>
                <w:webHidden/>
              </w:rPr>
              <w:fldChar w:fldCharType="separate"/>
            </w:r>
            <w:r>
              <w:rPr>
                <w:noProof/>
                <w:webHidden/>
              </w:rPr>
              <w:t>22</w:t>
            </w:r>
            <w:r w:rsidRPr="005767EF">
              <w:rPr>
                <w:noProof/>
                <w:webHidden/>
              </w:rPr>
              <w:fldChar w:fldCharType="end"/>
            </w:r>
          </w:hyperlink>
        </w:p>
        <w:p w:rsidR="005934B2" w:rsidRPr="005767EF" w:rsidRDefault="005934B2" w:rsidP="00A401F8">
          <w:pPr>
            <w:pStyle w:val="TOC2"/>
            <w:rPr>
              <w:rFonts w:eastAsiaTheme="minorEastAsia"/>
              <w:noProof/>
              <w:color w:val="auto"/>
              <w:lang w:val="sr-Latn-RS" w:eastAsia="sr-Latn-RS"/>
            </w:rPr>
          </w:pPr>
          <w:r>
            <w:rPr>
              <w:lang w:val="sr-Cyrl-RS"/>
            </w:rPr>
            <w:t xml:space="preserve">        </w:t>
          </w:r>
          <w:hyperlink w:anchor="_Toc135292177" w:history="1">
            <w:r>
              <w:rPr>
                <w:rStyle w:val="Hyperlink"/>
                <w:noProof/>
                <w:szCs w:val="20"/>
              </w:rPr>
              <w:t>3</w:t>
            </w:r>
            <w:r w:rsidRPr="005767EF">
              <w:rPr>
                <w:rStyle w:val="Hyperlink"/>
                <w:noProof/>
                <w:szCs w:val="20"/>
              </w:rPr>
              <w:t>.3</w:t>
            </w:r>
            <w:r w:rsidRPr="00E902E2">
              <w:t xml:space="preserve"> </w:t>
            </w:r>
            <w:r w:rsidRPr="00E902E2">
              <w:rPr>
                <w:rStyle w:val="Hyperlink"/>
                <w:noProof/>
                <w:szCs w:val="20"/>
              </w:rPr>
              <w:t>OSTVARENI FINANSIJSKI REZULTAT U 2024. GODINI</w:t>
            </w:r>
            <w:r w:rsidRPr="005767EF">
              <w:rPr>
                <w:noProof/>
                <w:webHidden/>
              </w:rPr>
              <w:tab/>
            </w:r>
            <w:r w:rsidRPr="005767EF">
              <w:rPr>
                <w:noProof/>
                <w:webHidden/>
              </w:rPr>
              <w:fldChar w:fldCharType="begin"/>
            </w:r>
            <w:r w:rsidRPr="005767EF">
              <w:rPr>
                <w:noProof/>
                <w:webHidden/>
              </w:rPr>
              <w:instrText xml:space="preserve"> PAGEREF _Toc135292177 \h </w:instrText>
            </w:r>
            <w:r w:rsidRPr="005767EF">
              <w:rPr>
                <w:noProof/>
                <w:webHidden/>
              </w:rPr>
            </w:r>
            <w:r w:rsidRPr="005767EF">
              <w:rPr>
                <w:noProof/>
                <w:webHidden/>
              </w:rPr>
              <w:fldChar w:fldCharType="separate"/>
            </w:r>
            <w:r>
              <w:rPr>
                <w:noProof/>
                <w:webHidden/>
              </w:rPr>
              <w:t>27</w:t>
            </w:r>
            <w:r w:rsidRPr="005767EF">
              <w:rPr>
                <w:noProof/>
                <w:webHidden/>
              </w:rPr>
              <w:fldChar w:fldCharType="end"/>
            </w:r>
          </w:hyperlink>
        </w:p>
        <w:p w:rsidR="005934B2" w:rsidRPr="00C66305" w:rsidRDefault="005934B2" w:rsidP="00A401F8">
          <w:pPr>
            <w:pStyle w:val="TOC2"/>
            <w:rPr>
              <w:rFonts w:eastAsiaTheme="minorEastAsia"/>
              <w:noProof/>
              <w:color w:val="auto"/>
              <w:lang w:val="sr-Cyrl-RS" w:eastAsia="sr-Latn-RS"/>
            </w:rPr>
          </w:pPr>
          <w:r>
            <w:rPr>
              <w:lang w:val="sr-Cyrl-RS"/>
            </w:rPr>
            <w:t xml:space="preserve">        </w:t>
          </w:r>
          <w:hyperlink w:anchor="_Toc135292178" w:history="1">
            <w:r>
              <w:rPr>
                <w:rStyle w:val="Hyperlink"/>
                <w:noProof/>
                <w:szCs w:val="20"/>
              </w:rPr>
              <w:t>3</w:t>
            </w:r>
            <w:r w:rsidRPr="005767EF">
              <w:rPr>
                <w:rStyle w:val="Hyperlink"/>
                <w:noProof/>
                <w:szCs w:val="20"/>
                <w:lang w:val="sr-Cyrl-BA"/>
              </w:rPr>
              <w:t>.4</w:t>
            </w:r>
            <w:r w:rsidRPr="00E902E2">
              <w:t xml:space="preserve"> </w:t>
            </w:r>
            <w:r w:rsidRPr="00E902E2">
              <w:rPr>
                <w:rStyle w:val="Hyperlink"/>
                <w:noProof/>
                <w:szCs w:val="20"/>
                <w:lang w:val="sr-Cyrl-BA"/>
              </w:rPr>
              <w:t>ANALIZA BILANSA STANjA NA DAN 31.12.2024. GODINE</w:t>
            </w:r>
            <w:r w:rsidRPr="005767EF">
              <w:rPr>
                <w:noProof/>
                <w:webHidden/>
              </w:rPr>
              <w:tab/>
            </w:r>
            <w:r>
              <w:rPr>
                <w:noProof/>
                <w:webHidden/>
                <w:lang w:val="sr-Cyrl-RS"/>
              </w:rPr>
              <w:t>30</w:t>
            </w:r>
          </w:hyperlink>
        </w:p>
        <w:p w:rsidR="005934B2" w:rsidRPr="00424A91" w:rsidRDefault="005934B2" w:rsidP="00A401F8">
          <w:pPr>
            <w:pStyle w:val="TOC2"/>
            <w:rPr>
              <w:rFonts w:eastAsiaTheme="minorEastAsia"/>
              <w:noProof/>
              <w:color w:val="auto"/>
              <w:lang w:val="sr-Cyrl-RS" w:eastAsia="sr-Latn-RS"/>
            </w:rPr>
          </w:pPr>
          <w:r>
            <w:rPr>
              <w:lang w:val="sr-Cyrl-RS"/>
            </w:rPr>
            <w:t xml:space="preserve">        </w:t>
          </w:r>
          <w:hyperlink w:anchor="_Toc135292179" w:history="1">
            <w:r>
              <w:rPr>
                <w:rStyle w:val="Hyperlink"/>
                <w:noProof/>
                <w:szCs w:val="20"/>
              </w:rPr>
              <w:t>3</w:t>
            </w:r>
            <w:r w:rsidRPr="005767EF">
              <w:rPr>
                <w:rStyle w:val="Hyperlink"/>
                <w:noProof/>
                <w:szCs w:val="20"/>
              </w:rPr>
              <w:t>.5</w:t>
            </w:r>
            <w:r w:rsidRPr="00E902E2">
              <w:t xml:space="preserve"> </w:t>
            </w:r>
            <w:r w:rsidRPr="00E902E2">
              <w:rPr>
                <w:rStyle w:val="Hyperlink"/>
                <w:noProof/>
                <w:szCs w:val="20"/>
              </w:rPr>
              <w:t>ANALIZA  SLOBODNIH NOVČANIH SREDSTAVA NA DAN 31.12.2024. GODINE</w:t>
            </w:r>
            <w:r w:rsidRPr="005767EF">
              <w:rPr>
                <w:noProof/>
                <w:webHidden/>
              </w:rPr>
              <w:tab/>
            </w:r>
            <w:r w:rsidRPr="005767EF">
              <w:rPr>
                <w:noProof/>
                <w:webHidden/>
              </w:rPr>
              <w:fldChar w:fldCharType="begin"/>
            </w:r>
            <w:r w:rsidRPr="005767EF">
              <w:rPr>
                <w:noProof/>
                <w:webHidden/>
              </w:rPr>
              <w:instrText xml:space="preserve"> PAGEREF _Toc135292179 \h </w:instrText>
            </w:r>
            <w:r w:rsidRPr="005767EF">
              <w:rPr>
                <w:noProof/>
                <w:webHidden/>
              </w:rPr>
            </w:r>
            <w:r w:rsidRPr="005767EF">
              <w:rPr>
                <w:noProof/>
                <w:webHidden/>
              </w:rPr>
              <w:fldChar w:fldCharType="separate"/>
            </w:r>
            <w:r>
              <w:rPr>
                <w:noProof/>
                <w:webHidden/>
              </w:rPr>
              <w:t>31</w:t>
            </w:r>
            <w:r w:rsidRPr="005767EF">
              <w:rPr>
                <w:noProof/>
                <w:webHidden/>
              </w:rPr>
              <w:fldChar w:fldCharType="end"/>
            </w:r>
          </w:hyperlink>
        </w:p>
        <w:p w:rsidR="005934B2" w:rsidRPr="00170349" w:rsidRDefault="000472AB" w:rsidP="00A401F8">
          <w:pPr>
            <w:pStyle w:val="TOC1"/>
            <w:tabs>
              <w:tab w:val="left" w:pos="426"/>
              <w:tab w:val="left" w:pos="709"/>
            </w:tabs>
            <w:rPr>
              <w:rFonts w:eastAsiaTheme="minorEastAsia"/>
              <w:noProof/>
              <w:color w:val="auto"/>
              <w:lang w:val="sr-Cyrl-RS" w:eastAsia="sr-Latn-RS"/>
            </w:rPr>
          </w:pPr>
          <w:hyperlink w:anchor="_Toc135292180" w:history="1">
            <w:r w:rsidR="005934B2">
              <w:rPr>
                <w:rStyle w:val="Hyperlink"/>
                <w:noProof/>
                <w:szCs w:val="20"/>
              </w:rPr>
              <w:t>4</w:t>
            </w:r>
            <w:r w:rsidR="005934B2" w:rsidRPr="005767EF">
              <w:rPr>
                <w:rFonts w:eastAsiaTheme="minorEastAsia"/>
                <w:noProof/>
                <w:color w:val="auto"/>
                <w:lang w:val="sr-Latn-RS" w:eastAsia="sr-Latn-RS"/>
              </w:rPr>
              <w:tab/>
            </w:r>
            <w:r w:rsidR="005934B2" w:rsidRPr="005767EF">
              <w:rPr>
                <w:rStyle w:val="Hyperlink"/>
                <w:noProof/>
                <w:szCs w:val="20"/>
              </w:rPr>
              <w:t>ANALIZA</w:t>
            </w:r>
            <w:r w:rsidR="005934B2">
              <w:rPr>
                <w:rStyle w:val="Hyperlink"/>
                <w:noProof/>
                <w:szCs w:val="20"/>
              </w:rPr>
              <w:t xml:space="preserve"> OSTVARENjA PLANA INVESTICIJA </w:t>
            </w:r>
            <w:r w:rsidR="005934B2">
              <w:rPr>
                <w:rStyle w:val="Hyperlink"/>
                <w:noProof/>
                <w:szCs w:val="20"/>
                <w:lang w:val="sr-Cyrl-RS"/>
              </w:rPr>
              <w:t xml:space="preserve"> U </w:t>
            </w:r>
            <w:r w:rsidR="005934B2" w:rsidRPr="005767EF">
              <w:rPr>
                <w:rStyle w:val="Hyperlink"/>
                <w:noProof/>
                <w:szCs w:val="20"/>
              </w:rPr>
              <w:t>202</w:t>
            </w:r>
            <w:r w:rsidR="005934B2">
              <w:rPr>
                <w:rStyle w:val="Hyperlink"/>
                <w:noProof/>
                <w:szCs w:val="20"/>
                <w:lang w:val="sr-Cyrl-RS"/>
              </w:rPr>
              <w:t>4</w:t>
            </w:r>
            <w:r w:rsidR="005934B2">
              <w:rPr>
                <w:rStyle w:val="Hyperlink"/>
                <w:noProof/>
                <w:szCs w:val="20"/>
              </w:rPr>
              <w:t>. GODIN</w:t>
            </w:r>
            <w:r w:rsidR="005934B2">
              <w:rPr>
                <w:rStyle w:val="Hyperlink"/>
                <w:noProof/>
                <w:szCs w:val="20"/>
                <w:lang w:val="sr-Cyrl-RS"/>
              </w:rPr>
              <w:t>I</w:t>
            </w:r>
            <w:r w:rsidR="005934B2" w:rsidRPr="005767EF">
              <w:rPr>
                <w:noProof/>
                <w:webHidden/>
              </w:rPr>
              <w:tab/>
            </w:r>
            <w:r w:rsidR="005934B2" w:rsidRPr="005767EF">
              <w:rPr>
                <w:noProof/>
                <w:webHidden/>
              </w:rPr>
              <w:fldChar w:fldCharType="begin"/>
            </w:r>
            <w:r w:rsidR="005934B2" w:rsidRPr="005767EF">
              <w:rPr>
                <w:noProof/>
                <w:webHidden/>
              </w:rPr>
              <w:instrText xml:space="preserve"> PAGEREF _Toc135292180 \h </w:instrText>
            </w:r>
            <w:r w:rsidR="005934B2" w:rsidRPr="005767EF">
              <w:rPr>
                <w:noProof/>
                <w:webHidden/>
              </w:rPr>
            </w:r>
            <w:r w:rsidR="005934B2" w:rsidRPr="005767EF">
              <w:rPr>
                <w:noProof/>
                <w:webHidden/>
              </w:rPr>
              <w:fldChar w:fldCharType="separate"/>
            </w:r>
            <w:r w:rsidR="005934B2">
              <w:rPr>
                <w:noProof/>
                <w:webHidden/>
              </w:rPr>
              <w:t>34</w:t>
            </w:r>
            <w:r w:rsidR="005934B2" w:rsidRPr="005767EF">
              <w:rPr>
                <w:noProof/>
                <w:webHidden/>
              </w:rPr>
              <w:fldChar w:fldCharType="end"/>
            </w:r>
          </w:hyperlink>
        </w:p>
        <w:p w:rsidR="005934B2" w:rsidRPr="005767EF" w:rsidRDefault="005934B2" w:rsidP="00A401F8">
          <w:pPr>
            <w:pStyle w:val="TOC1"/>
            <w:tabs>
              <w:tab w:val="left" w:pos="426"/>
              <w:tab w:val="left" w:pos="709"/>
            </w:tabs>
            <w:rPr>
              <w:rFonts w:eastAsiaTheme="minorEastAsia"/>
              <w:noProof/>
              <w:color w:val="auto"/>
              <w:lang w:val="sr-Latn-RS" w:eastAsia="sr-Latn-RS"/>
            </w:rPr>
          </w:pPr>
          <w:r>
            <w:t xml:space="preserve">      </w:t>
          </w:r>
          <w:hyperlink w:anchor="_Toc135292181" w:history="1">
            <w:r w:rsidRPr="005767EF">
              <w:rPr>
                <w:rStyle w:val="Hyperlink"/>
                <w:noProof/>
                <w:szCs w:val="20"/>
                <w:lang w:val="sr-Cyrl-BA"/>
              </w:rPr>
              <w:t>ZAKLjUČAK</w:t>
            </w:r>
            <w:r w:rsidRPr="005767EF">
              <w:rPr>
                <w:noProof/>
                <w:webHidden/>
              </w:rPr>
              <w:tab/>
            </w:r>
            <w:r w:rsidRPr="005767EF">
              <w:rPr>
                <w:noProof/>
                <w:webHidden/>
              </w:rPr>
              <w:fldChar w:fldCharType="begin"/>
            </w:r>
            <w:r w:rsidRPr="005767EF">
              <w:rPr>
                <w:noProof/>
                <w:webHidden/>
              </w:rPr>
              <w:instrText xml:space="preserve"> PAGEREF _Toc135292181 \h </w:instrText>
            </w:r>
            <w:r w:rsidRPr="005767EF">
              <w:rPr>
                <w:noProof/>
                <w:webHidden/>
              </w:rPr>
            </w:r>
            <w:r w:rsidRPr="005767EF">
              <w:rPr>
                <w:noProof/>
                <w:webHidden/>
              </w:rPr>
              <w:fldChar w:fldCharType="separate"/>
            </w:r>
            <w:r>
              <w:rPr>
                <w:noProof/>
                <w:webHidden/>
              </w:rPr>
              <w:t>36</w:t>
            </w:r>
            <w:r w:rsidRPr="005767EF">
              <w:rPr>
                <w:noProof/>
                <w:webHidden/>
              </w:rPr>
              <w:fldChar w:fldCharType="end"/>
            </w:r>
          </w:hyperlink>
        </w:p>
        <w:p w:rsidR="005934B2" w:rsidRPr="005767EF" w:rsidRDefault="005934B2" w:rsidP="00A401F8">
          <w:pPr>
            <w:tabs>
              <w:tab w:val="left" w:pos="426"/>
              <w:tab w:val="left" w:pos="709"/>
            </w:tabs>
            <w:rPr>
              <w:rFonts w:asciiTheme="minorHAnsi" w:hAnsiTheme="minorHAnsi"/>
              <w:sz w:val="20"/>
              <w:szCs w:val="20"/>
            </w:rPr>
          </w:pPr>
          <w:r w:rsidRPr="005767EF">
            <w:rPr>
              <w:rFonts w:asciiTheme="minorHAnsi" w:hAnsiTheme="minorHAnsi"/>
              <w:b/>
              <w:sz w:val="20"/>
              <w:szCs w:val="20"/>
            </w:rPr>
            <w:fldChar w:fldCharType="end"/>
          </w:r>
        </w:p>
      </w:sdtContent>
    </w:sdt>
    <w:p w:rsidR="005934B2" w:rsidRPr="005767EF" w:rsidRDefault="005934B2" w:rsidP="00A401F8">
      <w:pPr>
        <w:spacing w:after="200" w:line="276" w:lineRule="auto"/>
        <w:jc w:val="left"/>
        <w:rPr>
          <w:rFonts w:asciiTheme="minorHAnsi" w:hAnsiTheme="minorHAnsi"/>
          <w:sz w:val="20"/>
          <w:szCs w:val="20"/>
        </w:rPr>
      </w:pPr>
      <w:r w:rsidRPr="005767EF">
        <w:rPr>
          <w:rFonts w:asciiTheme="minorHAnsi" w:hAnsiTheme="minorHAnsi"/>
          <w:sz w:val="20"/>
          <w:szCs w:val="20"/>
        </w:rPr>
        <w:br w:type="page"/>
      </w:r>
    </w:p>
    <w:p w:rsidR="005934B2" w:rsidRPr="005767EF" w:rsidRDefault="005934B2" w:rsidP="00A401F8">
      <w:pPr>
        <w:rPr>
          <w:rFonts w:asciiTheme="minorHAnsi" w:hAnsiTheme="minorHAnsi"/>
          <w:sz w:val="20"/>
          <w:szCs w:val="20"/>
        </w:rPr>
      </w:pPr>
    </w:p>
    <w:p w:rsidR="005934B2" w:rsidRPr="005767EF" w:rsidRDefault="005934B2" w:rsidP="00A401F8">
      <w:pPr>
        <w:pStyle w:val="Heading1"/>
        <w:numPr>
          <w:ilvl w:val="0"/>
          <w:numId w:val="0"/>
        </w:numPr>
        <w:ind w:left="431"/>
        <w:jc w:val="center"/>
        <w:rPr>
          <w:rFonts w:asciiTheme="minorHAnsi" w:hAnsiTheme="minorHAnsi"/>
          <w:noProof/>
        </w:rPr>
      </w:pPr>
      <w:bookmarkStart w:id="1" w:name="_Toc514323445"/>
      <w:bookmarkStart w:id="2" w:name="_Toc135292166"/>
      <w:r w:rsidRPr="005767EF">
        <w:rPr>
          <w:rFonts w:asciiTheme="minorHAnsi" w:hAnsiTheme="minorHAnsi"/>
          <w:noProof/>
        </w:rPr>
        <w:t>UVOD</w:t>
      </w:r>
      <w:bookmarkEnd w:id="1"/>
      <w:bookmarkEnd w:id="2"/>
    </w:p>
    <w:p w:rsidR="005934B2" w:rsidRPr="005767EF" w:rsidRDefault="005934B2" w:rsidP="00A401F8">
      <w:pPr>
        <w:rPr>
          <w:rStyle w:val="tekst1"/>
          <w:rFonts w:asciiTheme="minorHAnsi" w:hAnsiTheme="minorHAnsi" w:cs="Times New Roman"/>
          <w:noProof/>
          <w:sz w:val="20"/>
          <w:szCs w:val="20"/>
          <w:lang w:val="sr-Cyrl-RS"/>
        </w:rPr>
      </w:pPr>
      <w:r w:rsidRPr="005767EF">
        <w:rPr>
          <w:rFonts w:asciiTheme="minorHAnsi" w:hAnsiTheme="minorHAnsi"/>
          <w:noProof/>
          <w:sz w:val="20"/>
          <w:szCs w:val="20"/>
          <w:lang w:val="sr-Cyrl-RS"/>
        </w:rPr>
        <w:t xml:space="preserve">Garantni fond Republike Srpske a.d. Banja Luka </w:t>
      </w:r>
      <w:r w:rsidRPr="005767EF">
        <w:rPr>
          <w:rFonts w:asciiTheme="minorHAnsi" w:hAnsiTheme="minorHAnsi"/>
          <w:noProof/>
          <w:sz w:val="20"/>
          <w:szCs w:val="20"/>
        </w:rPr>
        <w:t>j</w:t>
      </w:r>
      <w:r w:rsidRPr="005767EF">
        <w:rPr>
          <w:rFonts w:asciiTheme="minorHAnsi" w:hAnsiTheme="minorHAnsi"/>
          <w:noProof/>
          <w:sz w:val="20"/>
          <w:szCs w:val="20"/>
          <w:lang w:val="sr-Cyrl-RS"/>
        </w:rPr>
        <w:t>e</w:t>
      </w:r>
      <w:r w:rsidRPr="005767EF">
        <w:rPr>
          <w:rStyle w:val="tekst1"/>
          <w:rFonts w:asciiTheme="minorHAnsi" w:hAnsiTheme="minorHAnsi" w:cs="Times New Roman"/>
          <w:noProof/>
          <w:sz w:val="20"/>
          <w:szCs w:val="20"/>
          <w:lang w:val="sr-Cyrl-RS"/>
        </w:rPr>
        <w:t xml:space="preserve"> osnovan radi ostvarivanja opšteg interesa koji je izražen u pružanju podrške razvoju preduzetništva kroz olakšavanje pristupa finansijskim sredstvima potrebnim za obavljanje poslovnih djelatnosti preduzetnika (pravnih i fizičkih lica) sa sjedištem, odnosno prebivalištem u Republici Srpskoj.</w:t>
      </w:r>
    </w:p>
    <w:p w:rsidR="005934B2" w:rsidRDefault="005934B2" w:rsidP="00A401F8">
      <w:pPr>
        <w:rPr>
          <w:rFonts w:asciiTheme="minorHAnsi" w:hAnsiTheme="minorHAnsi"/>
          <w:noProof/>
          <w:sz w:val="20"/>
          <w:szCs w:val="20"/>
          <w:lang w:val="sr-Cyrl-RS"/>
        </w:rPr>
      </w:pPr>
    </w:p>
    <w:p w:rsidR="005934B2" w:rsidRPr="005767EF" w:rsidRDefault="005934B2" w:rsidP="00A401F8">
      <w:pPr>
        <w:rPr>
          <w:rFonts w:asciiTheme="minorHAnsi" w:hAnsiTheme="minorHAnsi"/>
          <w:noProof/>
          <w:color w:val="FF0000"/>
          <w:sz w:val="20"/>
          <w:szCs w:val="20"/>
          <w:lang w:val="sr-Cyrl-RS"/>
        </w:rPr>
      </w:pPr>
      <w:r w:rsidRPr="005767EF">
        <w:rPr>
          <w:rFonts w:asciiTheme="minorHAnsi" w:hAnsiTheme="minorHAnsi"/>
          <w:noProof/>
          <w:sz w:val="20"/>
          <w:szCs w:val="20"/>
          <w:lang w:val="sr-Cyrl-RS"/>
        </w:rPr>
        <w:t xml:space="preserve">Fond je osnovan Odlukom Vlade Republike Srpske </w:t>
      </w:r>
      <w:r>
        <w:rPr>
          <w:rFonts w:asciiTheme="minorHAnsi" w:hAnsiTheme="minorHAnsi"/>
          <w:noProof/>
          <w:sz w:val="20"/>
          <w:szCs w:val="20"/>
          <w:lang w:val="sr-Cyrl-RS"/>
        </w:rPr>
        <w:t>u</w:t>
      </w:r>
      <w:r w:rsidRPr="005767EF">
        <w:rPr>
          <w:rFonts w:asciiTheme="minorHAnsi" w:hAnsiTheme="minorHAnsi"/>
          <w:noProof/>
          <w:sz w:val="20"/>
          <w:szCs w:val="20"/>
          <w:lang w:val="sr-Cyrl-RS"/>
        </w:rPr>
        <w:t xml:space="preserve"> </w:t>
      </w:r>
      <w:r>
        <w:rPr>
          <w:rFonts w:asciiTheme="minorHAnsi" w:hAnsiTheme="minorHAnsi"/>
          <w:noProof/>
          <w:sz w:val="20"/>
          <w:szCs w:val="20"/>
          <w:lang w:val="sr-Cyrl-RS"/>
        </w:rPr>
        <w:t>julu</w:t>
      </w:r>
      <w:r w:rsidRPr="005767EF">
        <w:rPr>
          <w:rFonts w:asciiTheme="minorHAnsi" w:hAnsiTheme="minorHAnsi"/>
          <w:noProof/>
          <w:sz w:val="20"/>
          <w:szCs w:val="20"/>
          <w:lang w:val="sr-Cyrl-RS"/>
        </w:rPr>
        <w:t xml:space="preserve"> 2010. godine.  Pravni status Fonda, njegova djelatnost, način korišćenja sredstava i način upravljanja Fondom, regulisan je Zakonom o Garantnom fondu Republike Srpske („Službeni glasnik Republike Srpske“, broj 50/10) i </w:t>
      </w:r>
      <w:r w:rsidRPr="005767EF">
        <w:rPr>
          <w:rFonts w:asciiTheme="minorHAnsi" w:eastAsiaTheme="minorHAnsi" w:hAnsiTheme="minorHAnsi"/>
          <w:color w:val="auto"/>
          <w:sz w:val="20"/>
          <w:szCs w:val="20"/>
          <w:lang w:val="sr-Cyrl-RS" w:eastAsia="en-US"/>
        </w:rPr>
        <w:t>Zakonom o izmjenama i dopunama Zakona o Garantnom fondu Republike Srpske („Službeni glasnik RS“ broj 107/2019)</w:t>
      </w:r>
      <w:r w:rsidRPr="005767EF">
        <w:rPr>
          <w:rFonts w:asciiTheme="minorHAnsi" w:hAnsiTheme="minorHAnsi"/>
          <w:noProof/>
          <w:sz w:val="20"/>
          <w:szCs w:val="20"/>
          <w:lang w:val="sr-Cyrl-RS"/>
        </w:rPr>
        <w:t xml:space="preserve">. </w:t>
      </w:r>
      <w:r w:rsidRPr="005767EF">
        <w:rPr>
          <w:rFonts w:asciiTheme="minorHAnsi" w:hAnsiTheme="minorHAnsi"/>
          <w:noProof/>
          <w:color w:val="000000" w:themeColor="text1"/>
          <w:sz w:val="20"/>
          <w:szCs w:val="20"/>
          <w:lang w:val="sr-Cyrl-RS"/>
        </w:rPr>
        <w:t>Obzirom da je osnivač Fonda Republika Srpska i da je osnivač 100% vlasnik akcija Fonda (Fond je zatvoreno akcionarsko društvo), na rad i poslovanje Fonda primjenjuju se i odredbe Zakona o javnim preduzećima („Službeni glasnik Republike Srpske“, broj 75/04 i 78/11).</w:t>
      </w:r>
    </w:p>
    <w:p w:rsidR="005934B2" w:rsidRDefault="005934B2" w:rsidP="00A401F8">
      <w:pPr>
        <w:rPr>
          <w:rFonts w:asciiTheme="minorHAnsi" w:hAnsiTheme="minorHAnsi"/>
          <w:noProof/>
          <w:sz w:val="20"/>
          <w:szCs w:val="20"/>
          <w:lang w:val="sr-Cyrl-RS"/>
        </w:rPr>
      </w:pPr>
    </w:p>
    <w:p w:rsidR="005934B2" w:rsidRPr="005767EF" w:rsidRDefault="005934B2" w:rsidP="00A401F8">
      <w:pPr>
        <w:rPr>
          <w:rFonts w:asciiTheme="minorHAnsi" w:hAnsiTheme="minorHAnsi"/>
          <w:noProof/>
          <w:sz w:val="20"/>
          <w:szCs w:val="20"/>
          <w:lang w:val="sr-Cyrl-RS"/>
        </w:rPr>
      </w:pPr>
      <w:r w:rsidRPr="005767EF">
        <w:rPr>
          <w:rFonts w:asciiTheme="minorHAnsi" w:hAnsiTheme="minorHAnsi"/>
          <w:noProof/>
          <w:sz w:val="20"/>
          <w:szCs w:val="20"/>
          <w:lang w:val="sr-Cyrl-RS"/>
        </w:rPr>
        <w:t xml:space="preserve">Osnovna djelatnost Fonda je izdavanje svih vrsta garancija, supergarancija i kontragarancija za obezbjeđenje dijela obaveza po kreditu ili drugoj finansijskoj obavezi, ugovorenim između preduzetnika sa sjedištem, odnosno prebivalištem u Republici Srpskoj, kao nalogodavca garancije i dužnika po obezbjeđenoj obavezi, i banke ili druge finansijske organizacije, kao korisnika garancije i povjerioca po obezbjeđenoj obavezi. </w:t>
      </w:r>
    </w:p>
    <w:p w:rsidR="005934B2" w:rsidRDefault="005934B2" w:rsidP="00A401F8">
      <w:pPr>
        <w:rPr>
          <w:rFonts w:asciiTheme="minorHAnsi" w:hAnsiTheme="minorHAnsi"/>
          <w:noProof/>
          <w:sz w:val="20"/>
          <w:szCs w:val="20"/>
          <w:lang w:val="sr-Cyrl-RS"/>
        </w:rPr>
      </w:pPr>
    </w:p>
    <w:p w:rsidR="005934B2" w:rsidRPr="005767EF" w:rsidRDefault="005934B2" w:rsidP="00A401F8">
      <w:pPr>
        <w:rPr>
          <w:rFonts w:asciiTheme="minorHAnsi" w:hAnsiTheme="minorHAnsi"/>
          <w:noProof/>
          <w:sz w:val="20"/>
          <w:szCs w:val="20"/>
          <w:lang w:val="sr-Cyrl-RS"/>
        </w:rPr>
      </w:pPr>
      <w:r w:rsidRPr="005767EF">
        <w:rPr>
          <w:rFonts w:asciiTheme="minorHAnsi" w:hAnsiTheme="minorHAnsi"/>
          <w:noProof/>
          <w:sz w:val="20"/>
          <w:szCs w:val="20"/>
          <w:lang w:val="sr-Cyrl-RS"/>
        </w:rPr>
        <w:t>Fond može izda</w:t>
      </w:r>
      <w:r>
        <w:rPr>
          <w:rFonts w:asciiTheme="minorHAnsi" w:hAnsiTheme="minorHAnsi"/>
          <w:noProof/>
          <w:sz w:val="20"/>
          <w:szCs w:val="20"/>
          <w:lang w:val="sr-Cyrl-RS"/>
        </w:rPr>
        <w:t xml:space="preserve">ti garancije </w:t>
      </w:r>
      <w:r w:rsidRPr="005767EF">
        <w:rPr>
          <w:rFonts w:asciiTheme="minorHAnsi" w:hAnsiTheme="minorHAnsi"/>
          <w:noProof/>
          <w:sz w:val="20"/>
          <w:szCs w:val="20"/>
          <w:lang w:val="sr-Cyrl-RS"/>
        </w:rPr>
        <w:t>do 50%</w:t>
      </w:r>
      <w:r>
        <w:rPr>
          <w:rFonts w:asciiTheme="minorHAnsi" w:hAnsiTheme="minorHAnsi"/>
          <w:noProof/>
          <w:sz w:val="20"/>
          <w:szCs w:val="20"/>
          <w:lang w:val="sr-Cyrl-RS"/>
        </w:rPr>
        <w:t xml:space="preserve"> (u izuzetnim slučajevima do 70%)</w:t>
      </w:r>
      <w:r w:rsidRPr="005767EF">
        <w:rPr>
          <w:rFonts w:asciiTheme="minorHAnsi" w:hAnsiTheme="minorHAnsi"/>
          <w:noProof/>
          <w:sz w:val="20"/>
          <w:szCs w:val="20"/>
          <w:lang w:val="sr-Cyrl-RS"/>
        </w:rPr>
        <w:t xml:space="preserve"> iznosa odobrenog kredita ili druge finansijske obaveze koje je preduzetniku odobri</w:t>
      </w:r>
      <w:r w:rsidRPr="005767EF">
        <w:rPr>
          <w:rFonts w:asciiTheme="minorHAnsi" w:hAnsiTheme="minorHAnsi"/>
          <w:noProof/>
          <w:sz w:val="20"/>
          <w:szCs w:val="20"/>
          <w:lang w:val="sr-Cyrl-BA"/>
        </w:rPr>
        <w:t>l</w:t>
      </w:r>
      <w:r w:rsidRPr="005767EF">
        <w:rPr>
          <w:rFonts w:asciiTheme="minorHAnsi" w:hAnsiTheme="minorHAnsi"/>
          <w:noProof/>
          <w:sz w:val="20"/>
          <w:szCs w:val="20"/>
          <w:lang w:val="sr-Cyrl-RS"/>
        </w:rPr>
        <w:t>a banka ili druga finansijska organizacija</w:t>
      </w:r>
      <w:r w:rsidRPr="005767EF">
        <w:rPr>
          <w:rFonts w:asciiTheme="minorHAnsi" w:hAnsiTheme="minorHAnsi"/>
          <w:noProof/>
          <w:sz w:val="20"/>
          <w:szCs w:val="20"/>
        </w:rPr>
        <w:t xml:space="preserve"> </w:t>
      </w:r>
      <w:r w:rsidRPr="005767EF">
        <w:rPr>
          <w:rFonts w:asciiTheme="minorHAnsi" w:hAnsiTheme="minorHAnsi"/>
          <w:noProof/>
          <w:sz w:val="20"/>
          <w:szCs w:val="20"/>
          <w:lang w:val="sr-Cyrl-BA"/>
        </w:rPr>
        <w:t xml:space="preserve">ili </w:t>
      </w:r>
      <w:r w:rsidRPr="005767EF">
        <w:rPr>
          <w:rFonts w:asciiTheme="minorHAnsi" w:hAnsiTheme="minorHAnsi"/>
          <w:noProof/>
          <w:sz w:val="20"/>
          <w:szCs w:val="20"/>
        </w:rPr>
        <w:t xml:space="preserve"> </w:t>
      </w:r>
      <w:r w:rsidRPr="005767EF">
        <w:rPr>
          <w:rFonts w:asciiTheme="minorHAnsi" w:hAnsiTheme="minorHAnsi"/>
          <w:noProof/>
          <w:sz w:val="20"/>
          <w:szCs w:val="20"/>
          <w:lang w:val="sr-Cyrl-BA"/>
        </w:rPr>
        <w:t>maksimalno do 1.500.000,00 KM</w:t>
      </w:r>
      <w:r w:rsidRPr="005767EF">
        <w:rPr>
          <w:rFonts w:asciiTheme="minorHAnsi" w:hAnsiTheme="minorHAnsi"/>
          <w:noProof/>
          <w:sz w:val="20"/>
          <w:szCs w:val="20"/>
          <w:lang w:val="sr-Cyrl-RS"/>
        </w:rPr>
        <w:t>. Garantni potencijal Fonda čini trostruki iznos osnivačkog kapitala Fonda</w:t>
      </w:r>
      <w:r>
        <w:rPr>
          <w:rFonts w:asciiTheme="minorHAnsi" w:hAnsiTheme="minorHAnsi"/>
          <w:noProof/>
          <w:sz w:val="20"/>
          <w:szCs w:val="20"/>
          <w:lang w:val="sr-Cyrl-RS"/>
        </w:rPr>
        <w:t>, odnosno 90.000.000,00 KM</w:t>
      </w:r>
      <w:r w:rsidRPr="005767EF">
        <w:rPr>
          <w:rFonts w:asciiTheme="minorHAnsi" w:hAnsiTheme="minorHAnsi"/>
          <w:noProof/>
          <w:sz w:val="20"/>
          <w:szCs w:val="20"/>
          <w:lang w:val="sr-Cyrl-RS"/>
        </w:rPr>
        <w:t>.</w:t>
      </w:r>
    </w:p>
    <w:p w:rsidR="005934B2" w:rsidRPr="005767EF" w:rsidRDefault="005934B2" w:rsidP="00A401F8">
      <w:pPr>
        <w:pStyle w:val="ListParagraph"/>
        <w:rPr>
          <w:rFonts w:asciiTheme="minorHAnsi" w:eastAsiaTheme="minorHAnsi" w:hAnsiTheme="minorHAnsi"/>
          <w:color w:val="auto"/>
          <w:sz w:val="20"/>
          <w:szCs w:val="20"/>
          <w:lang w:val="sr-Cyrl-RS" w:eastAsia="en-US"/>
        </w:rPr>
      </w:pPr>
    </w:p>
    <w:p w:rsidR="005934B2" w:rsidRPr="005767EF" w:rsidRDefault="005934B2" w:rsidP="00A401F8">
      <w:pPr>
        <w:pStyle w:val="Heading1"/>
        <w:numPr>
          <w:ilvl w:val="0"/>
          <w:numId w:val="0"/>
        </w:numPr>
        <w:rPr>
          <w:rFonts w:asciiTheme="minorHAnsi" w:eastAsiaTheme="minorHAnsi" w:hAnsiTheme="minorHAnsi"/>
        </w:rPr>
      </w:pPr>
      <w:bookmarkStart w:id="3" w:name="_Toc135292167"/>
      <w:r>
        <w:rPr>
          <w:rFonts w:asciiTheme="minorHAnsi" w:eastAsiaTheme="minorHAnsi" w:hAnsiTheme="minorHAnsi"/>
          <w:lang w:val="sr-Cyrl-RS"/>
        </w:rPr>
        <w:t xml:space="preserve">1.     </w:t>
      </w:r>
      <w:r w:rsidRPr="005767EF">
        <w:rPr>
          <w:rFonts w:asciiTheme="minorHAnsi" w:eastAsiaTheme="minorHAnsi" w:hAnsiTheme="minorHAnsi"/>
        </w:rPr>
        <w:t xml:space="preserve">ORGANIZACIJA I NAČIN RADA GARANTNOG FONDA </w:t>
      </w:r>
      <w:r w:rsidRPr="005767EF">
        <w:rPr>
          <w:rFonts w:asciiTheme="minorHAnsi" w:eastAsiaTheme="minorHAnsi" w:hAnsiTheme="minorHAnsi"/>
          <w:lang w:val="sr-Cyrl-BA"/>
        </w:rPr>
        <w:t>REPUBLIKE SRPSKE</w:t>
      </w:r>
      <w:bookmarkEnd w:id="3"/>
    </w:p>
    <w:p w:rsidR="005934B2" w:rsidRPr="00FE0E1B" w:rsidRDefault="005934B2" w:rsidP="00A401F8">
      <w:pPr>
        <w:autoSpaceDE w:val="0"/>
        <w:autoSpaceDN w:val="0"/>
        <w:adjustRightInd w:val="0"/>
        <w:ind w:firstLine="431"/>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eastAsia="en-US"/>
        </w:rPr>
        <w:t>U skladu sa Zakonom o Garantnom fondu Republike Srpske i Zakonom o javnim</w:t>
      </w:r>
      <w:r w:rsidRPr="005767EF">
        <w:rPr>
          <w:rFonts w:asciiTheme="minorHAnsi" w:eastAsiaTheme="minorHAnsi" w:hAnsiTheme="minorHAnsi"/>
          <w:color w:val="auto"/>
          <w:sz w:val="20"/>
          <w:szCs w:val="20"/>
          <w:lang w:val="sr-Cyrl-RS" w:eastAsia="en-US"/>
        </w:rPr>
        <w:t xml:space="preserve"> </w:t>
      </w:r>
      <w:r>
        <w:rPr>
          <w:rFonts w:asciiTheme="minorHAnsi" w:eastAsiaTheme="minorHAnsi" w:hAnsiTheme="minorHAnsi"/>
          <w:color w:val="auto"/>
          <w:sz w:val="20"/>
          <w:szCs w:val="20"/>
          <w:lang w:eastAsia="en-US"/>
        </w:rPr>
        <w:t xml:space="preserve">preduzećima, </w:t>
      </w:r>
      <w:r>
        <w:rPr>
          <w:rFonts w:asciiTheme="minorHAnsi" w:eastAsiaTheme="minorHAnsi" w:hAnsiTheme="minorHAnsi"/>
          <w:color w:val="auto"/>
          <w:sz w:val="20"/>
          <w:szCs w:val="20"/>
          <w:lang w:val="sr-Cyrl-RS" w:eastAsia="en-US"/>
        </w:rPr>
        <w:t>o</w:t>
      </w:r>
      <w:r>
        <w:rPr>
          <w:rFonts w:asciiTheme="minorHAnsi" w:eastAsiaTheme="minorHAnsi" w:hAnsiTheme="minorHAnsi"/>
          <w:color w:val="auto"/>
          <w:sz w:val="20"/>
          <w:szCs w:val="20"/>
          <w:lang w:eastAsia="en-US"/>
        </w:rPr>
        <w:t>rgane Fonda čine:</w:t>
      </w:r>
    </w:p>
    <w:p w:rsidR="005934B2" w:rsidRPr="005767EF" w:rsidRDefault="005934B2" w:rsidP="00A401F8">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 xml:space="preserve">Skupština akcionara </w:t>
      </w:r>
    </w:p>
    <w:p w:rsidR="005934B2" w:rsidRPr="005767EF" w:rsidRDefault="005934B2" w:rsidP="00A401F8">
      <w:pPr>
        <w:pStyle w:val="ListParagraph"/>
        <w:numPr>
          <w:ilvl w:val="0"/>
          <w:numId w:val="10"/>
        </w:numPr>
        <w:autoSpaceDE w:val="0"/>
        <w:autoSpaceDN w:val="0"/>
        <w:adjustRightInd w:val="0"/>
        <w:jc w:val="left"/>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eastAsia="en-US"/>
        </w:rPr>
        <w:t>Nadzorni odbor</w:t>
      </w:r>
    </w:p>
    <w:p w:rsidR="005934B2" w:rsidRPr="005767EF" w:rsidRDefault="005934B2" w:rsidP="00A401F8">
      <w:pPr>
        <w:pStyle w:val="ListParagraph"/>
        <w:numPr>
          <w:ilvl w:val="0"/>
          <w:numId w:val="10"/>
        </w:numPr>
        <w:autoSpaceDE w:val="0"/>
        <w:autoSpaceDN w:val="0"/>
        <w:adjustRightInd w:val="0"/>
        <w:jc w:val="left"/>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Direktor Fonda</w:t>
      </w:r>
    </w:p>
    <w:p w:rsidR="005934B2" w:rsidRPr="005767EF" w:rsidRDefault="005934B2" w:rsidP="00A401F8">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eastAsia="en-US"/>
        </w:rPr>
        <w:t>Odbor za reviziju</w:t>
      </w:r>
    </w:p>
    <w:p w:rsidR="005934B2" w:rsidRPr="005767EF" w:rsidRDefault="005934B2" w:rsidP="00A401F8">
      <w:pPr>
        <w:pStyle w:val="ListParagraph"/>
        <w:numPr>
          <w:ilvl w:val="0"/>
          <w:numId w:val="10"/>
        </w:numPr>
        <w:autoSpaceDE w:val="0"/>
        <w:autoSpaceDN w:val="0"/>
        <w:adjustRightInd w:val="0"/>
        <w:jc w:val="left"/>
        <w:rPr>
          <w:rFonts w:asciiTheme="minorHAnsi" w:eastAsiaTheme="minorHAnsi" w:hAnsiTheme="minorHAnsi"/>
          <w:color w:val="auto"/>
          <w:sz w:val="20"/>
          <w:szCs w:val="20"/>
          <w:lang w:eastAsia="en-US"/>
        </w:rPr>
      </w:pPr>
      <w:r w:rsidRPr="005767EF">
        <w:rPr>
          <w:rFonts w:asciiTheme="minorHAnsi" w:eastAsiaTheme="minorHAnsi" w:hAnsiTheme="minorHAnsi"/>
          <w:color w:val="auto"/>
          <w:sz w:val="20"/>
          <w:szCs w:val="20"/>
          <w:lang w:val="sr-Cyrl-BA" w:eastAsia="en-US"/>
        </w:rPr>
        <w:t>Garantni odbor</w:t>
      </w:r>
      <w:r w:rsidRPr="005767EF">
        <w:rPr>
          <w:rFonts w:asciiTheme="minorHAnsi" w:eastAsiaTheme="minorHAnsi" w:hAnsiTheme="minorHAnsi"/>
          <w:color w:val="auto"/>
          <w:sz w:val="20"/>
          <w:szCs w:val="20"/>
          <w:lang w:eastAsia="en-US"/>
        </w:rPr>
        <w:t xml:space="preserve"> </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775661"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val="sr-Cyrl-BA" w:eastAsia="en-US"/>
        </w:rPr>
        <w:t>Prava, obaveze i odgovornost organa Fonda regulisana su zakonskim i podzakonskim aktima,</w:t>
      </w:r>
      <w:r>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val="sr-Cyrl-BA" w:eastAsia="en-US"/>
        </w:rPr>
        <w:t>Statutom Fonda i internim pravilnicima i poslovnicima o radu organa Fonda.</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EE6483" w:rsidRDefault="005934B2" w:rsidP="00A401F8">
      <w:pPr>
        <w:autoSpaceDE w:val="0"/>
        <w:autoSpaceDN w:val="0"/>
        <w:adjustRightInd w:val="0"/>
        <w:rPr>
          <w:rFonts w:asciiTheme="minorHAnsi" w:eastAsiaTheme="minorHAnsi" w:hAnsiTheme="minorHAnsi"/>
          <w:color w:val="auto"/>
          <w:sz w:val="20"/>
          <w:szCs w:val="20"/>
          <w:lang w:eastAsia="en-US"/>
        </w:rPr>
      </w:pPr>
      <w:r w:rsidRPr="00775661">
        <w:rPr>
          <w:rFonts w:asciiTheme="minorHAnsi" w:eastAsiaTheme="minorHAnsi" w:hAnsiTheme="minorHAnsi"/>
          <w:color w:val="auto"/>
          <w:sz w:val="20"/>
          <w:szCs w:val="20"/>
          <w:lang w:val="sr-Cyrl-BA" w:eastAsia="en-US"/>
        </w:rPr>
        <w:t xml:space="preserve">Vlada Republike Srpske u funkciji Skupštine akcionara Fonda </w:t>
      </w:r>
      <w:r>
        <w:rPr>
          <w:rFonts w:asciiTheme="minorHAnsi" w:eastAsiaTheme="minorHAnsi" w:hAnsiTheme="minorHAnsi"/>
          <w:color w:val="auto"/>
          <w:sz w:val="20"/>
          <w:szCs w:val="20"/>
          <w:lang w:val="sr-Cyrl-BA" w:eastAsia="en-US"/>
        </w:rPr>
        <w:t>je tokom 202</w:t>
      </w:r>
      <w:r>
        <w:rPr>
          <w:rFonts w:asciiTheme="minorHAnsi" w:eastAsiaTheme="minorHAnsi" w:hAnsiTheme="minorHAnsi"/>
          <w:color w:val="auto"/>
          <w:sz w:val="20"/>
          <w:szCs w:val="20"/>
          <w:lang w:eastAsia="en-US"/>
        </w:rPr>
        <w:t>4</w:t>
      </w:r>
      <w:r>
        <w:rPr>
          <w:rFonts w:asciiTheme="minorHAnsi" w:eastAsiaTheme="minorHAnsi" w:hAnsiTheme="minorHAnsi"/>
          <w:color w:val="auto"/>
          <w:sz w:val="20"/>
          <w:szCs w:val="20"/>
          <w:lang w:val="sr-Cyrl-BA" w:eastAsia="en-US"/>
        </w:rPr>
        <w:t>. godine održala</w:t>
      </w:r>
      <w:r w:rsidRPr="00775661">
        <w:rPr>
          <w:rFonts w:asciiTheme="minorHAnsi" w:eastAsiaTheme="minorHAnsi" w:hAnsiTheme="minorHAnsi"/>
          <w:color w:val="auto"/>
          <w:sz w:val="20"/>
          <w:szCs w:val="20"/>
          <w:lang w:val="sr-Cyrl-BA" w:eastAsia="en-US"/>
        </w:rPr>
        <w:t xml:space="preserve"> 12</w:t>
      </w:r>
      <w:r>
        <w:rPr>
          <w:rFonts w:asciiTheme="minorHAnsi" w:eastAsiaTheme="minorHAnsi" w:hAnsiTheme="minorHAnsi"/>
          <w:color w:val="auto"/>
          <w:sz w:val="20"/>
          <w:szCs w:val="20"/>
          <w:lang w:val="sr-Cyrl-BA" w:eastAsia="en-US"/>
        </w:rPr>
        <w:t xml:space="preserve"> sjednica, te </w:t>
      </w:r>
      <w:r w:rsidRPr="00775661">
        <w:rPr>
          <w:rFonts w:asciiTheme="minorHAnsi" w:eastAsiaTheme="minorHAnsi" w:hAnsiTheme="minorHAnsi"/>
          <w:color w:val="auto"/>
          <w:sz w:val="20"/>
          <w:szCs w:val="20"/>
          <w:lang w:val="sr-Cyrl-BA" w:eastAsia="en-US"/>
        </w:rPr>
        <w:t>donijela 1</w:t>
      </w:r>
      <w:r>
        <w:rPr>
          <w:rFonts w:asciiTheme="minorHAnsi" w:eastAsiaTheme="minorHAnsi" w:hAnsiTheme="minorHAnsi"/>
          <w:color w:val="auto"/>
          <w:sz w:val="20"/>
          <w:szCs w:val="20"/>
          <w:lang w:val="sr-Cyrl-BA" w:eastAsia="en-US"/>
        </w:rPr>
        <w:t>3</w:t>
      </w:r>
      <w:r w:rsidRPr="00775661">
        <w:rPr>
          <w:rFonts w:asciiTheme="minorHAnsi" w:eastAsiaTheme="minorHAnsi" w:hAnsiTheme="minorHAnsi"/>
          <w:color w:val="auto"/>
          <w:sz w:val="20"/>
          <w:szCs w:val="20"/>
          <w:lang w:val="sr-Cyrl-BA" w:eastAsia="en-US"/>
        </w:rPr>
        <w:t xml:space="preserve"> odluka i </w:t>
      </w:r>
      <w:r>
        <w:rPr>
          <w:rFonts w:asciiTheme="minorHAnsi" w:eastAsiaTheme="minorHAnsi" w:hAnsiTheme="minorHAnsi"/>
          <w:color w:val="auto"/>
          <w:sz w:val="20"/>
          <w:szCs w:val="20"/>
          <w:lang w:val="sr-Cyrl-BA" w:eastAsia="en-US"/>
        </w:rPr>
        <w:t xml:space="preserve">11 </w:t>
      </w:r>
      <w:r w:rsidRPr="00775661">
        <w:rPr>
          <w:rFonts w:asciiTheme="minorHAnsi" w:eastAsiaTheme="minorHAnsi" w:hAnsiTheme="minorHAnsi"/>
          <w:color w:val="auto"/>
          <w:sz w:val="20"/>
          <w:szCs w:val="20"/>
          <w:lang w:val="sr-Cyrl-BA" w:eastAsia="en-US"/>
        </w:rPr>
        <w:t>rješenja iz svoje nadležnosti.</w:t>
      </w:r>
      <w:r>
        <w:rPr>
          <w:rFonts w:asciiTheme="minorHAnsi" w:eastAsiaTheme="minorHAnsi" w:hAnsiTheme="minorHAnsi"/>
          <w:color w:val="auto"/>
          <w:sz w:val="20"/>
          <w:szCs w:val="20"/>
          <w:lang w:val="sr-Cyrl-BA" w:eastAsia="en-US"/>
        </w:rPr>
        <w:t xml:space="preserve"> </w:t>
      </w:r>
      <w:r w:rsidRPr="00DE3404">
        <w:rPr>
          <w:rFonts w:asciiTheme="minorHAnsi" w:eastAsiaTheme="minorHAnsi" w:hAnsiTheme="minorHAnsi"/>
          <w:color w:val="auto"/>
          <w:sz w:val="20"/>
          <w:szCs w:val="20"/>
          <w:lang w:val="sr-Cyrl-BA" w:eastAsia="en-US"/>
        </w:rPr>
        <w:t xml:space="preserve">Nadzorni odbor je održao 14 sjednica, od čega 6 redovnih i 8 vanrednih. Ovaj organ Fonda je donio ukupno </w:t>
      </w:r>
      <w:r>
        <w:rPr>
          <w:rFonts w:asciiTheme="minorHAnsi" w:eastAsiaTheme="minorHAnsi" w:hAnsiTheme="minorHAnsi"/>
          <w:color w:val="auto"/>
          <w:sz w:val="20"/>
          <w:szCs w:val="20"/>
          <w:lang w:val="sr-Cyrl-BA" w:eastAsia="en-US"/>
        </w:rPr>
        <w:t>60</w:t>
      </w:r>
      <w:r w:rsidRPr="00DE3404">
        <w:rPr>
          <w:rFonts w:asciiTheme="minorHAnsi" w:eastAsiaTheme="minorHAnsi" w:hAnsiTheme="minorHAnsi"/>
          <w:color w:val="auto"/>
          <w:sz w:val="20"/>
          <w:szCs w:val="20"/>
          <w:lang w:val="sr-Cyrl-BA" w:eastAsia="en-US"/>
        </w:rPr>
        <w:t xml:space="preserve"> pravnih akata iz svoje nadležnosti, i to: </w:t>
      </w:r>
      <w:r>
        <w:rPr>
          <w:rFonts w:asciiTheme="minorHAnsi" w:eastAsiaTheme="minorHAnsi" w:hAnsiTheme="minorHAnsi"/>
          <w:color w:val="auto"/>
          <w:sz w:val="20"/>
          <w:szCs w:val="20"/>
          <w:lang w:val="sr-Cyrl-BA" w:eastAsia="en-US"/>
        </w:rPr>
        <w:t>30</w:t>
      </w:r>
      <w:r w:rsidRPr="00DE3404">
        <w:rPr>
          <w:rFonts w:asciiTheme="minorHAnsi" w:eastAsiaTheme="minorHAnsi" w:hAnsiTheme="minorHAnsi"/>
          <w:color w:val="auto"/>
          <w:sz w:val="20"/>
          <w:szCs w:val="20"/>
          <w:lang w:val="sr-Cyrl-BA" w:eastAsia="en-US"/>
        </w:rPr>
        <w:t xml:space="preserve"> odluka, 2</w:t>
      </w:r>
      <w:r>
        <w:rPr>
          <w:rFonts w:asciiTheme="minorHAnsi" w:eastAsiaTheme="minorHAnsi" w:hAnsiTheme="minorHAnsi"/>
          <w:color w:val="auto"/>
          <w:sz w:val="20"/>
          <w:szCs w:val="20"/>
          <w:lang w:val="sr-Cyrl-BA" w:eastAsia="en-US"/>
        </w:rPr>
        <w:t>8</w:t>
      </w:r>
      <w:r w:rsidRPr="00DE3404">
        <w:rPr>
          <w:rFonts w:asciiTheme="minorHAnsi" w:eastAsiaTheme="minorHAnsi" w:hAnsiTheme="minorHAnsi"/>
          <w:color w:val="auto"/>
          <w:sz w:val="20"/>
          <w:szCs w:val="20"/>
          <w:lang w:val="sr-Cyrl-BA" w:eastAsia="en-US"/>
        </w:rPr>
        <w:t xml:space="preserve"> zaključak</w:t>
      </w:r>
      <w:r>
        <w:rPr>
          <w:rFonts w:asciiTheme="minorHAnsi" w:eastAsiaTheme="minorHAnsi" w:hAnsiTheme="minorHAnsi"/>
          <w:color w:val="auto"/>
          <w:sz w:val="20"/>
          <w:szCs w:val="20"/>
          <w:lang w:val="sr-Cyrl-BA" w:eastAsia="en-US"/>
        </w:rPr>
        <w:t>a</w:t>
      </w:r>
      <w:r w:rsidRPr="00DE3404">
        <w:rPr>
          <w:rFonts w:asciiTheme="minorHAnsi" w:eastAsiaTheme="minorHAnsi" w:hAnsiTheme="minorHAnsi"/>
          <w:color w:val="auto"/>
          <w:sz w:val="20"/>
          <w:szCs w:val="20"/>
          <w:lang w:val="sr-Cyrl-BA" w:eastAsia="en-US"/>
        </w:rPr>
        <w:t xml:space="preserve">, 5 rješenja, jednu inicijativu i jedan izvještaj. Odbor za reviziju je održao  4 sjednice i donio 18 preporuka. </w:t>
      </w:r>
      <w:r>
        <w:rPr>
          <w:rFonts w:asciiTheme="minorHAnsi" w:eastAsiaTheme="minorHAnsi" w:hAnsiTheme="minorHAnsi"/>
          <w:color w:val="auto"/>
          <w:sz w:val="20"/>
          <w:szCs w:val="20"/>
          <w:lang w:val="sr-Cyrl-BA" w:eastAsia="en-US"/>
        </w:rPr>
        <w:t>Garantni odbor je održao 23 sjednice.</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RS" w:eastAsia="en-US"/>
        </w:rPr>
      </w:pPr>
      <w:r w:rsidRPr="00EB4CFD">
        <w:rPr>
          <w:rFonts w:asciiTheme="minorHAnsi" w:eastAsiaTheme="minorHAnsi" w:hAnsiTheme="minorHAnsi"/>
          <w:color w:val="auto"/>
          <w:sz w:val="20"/>
          <w:szCs w:val="20"/>
          <w:lang w:eastAsia="en-US"/>
        </w:rPr>
        <w:t>Pravilnikom o unutrašnjoj organizaciji i sistematizacij</w:t>
      </w:r>
      <w:r w:rsidRPr="00EB4CFD">
        <w:rPr>
          <w:rFonts w:asciiTheme="minorHAnsi" w:eastAsiaTheme="minorHAnsi" w:hAnsiTheme="minorHAnsi"/>
          <w:color w:val="auto"/>
          <w:sz w:val="20"/>
          <w:szCs w:val="20"/>
          <w:lang w:val="sr-Cyrl-RS" w:eastAsia="en-US"/>
        </w:rPr>
        <w:t>i</w:t>
      </w:r>
      <w:r w:rsidRPr="00EB4CFD">
        <w:rPr>
          <w:rFonts w:asciiTheme="minorHAnsi" w:eastAsiaTheme="minorHAnsi" w:hAnsiTheme="minorHAnsi"/>
          <w:color w:val="auto"/>
          <w:sz w:val="20"/>
          <w:szCs w:val="20"/>
          <w:lang w:eastAsia="en-US"/>
        </w:rPr>
        <w:t xml:space="preserve"> radnih mjesta</w:t>
      </w:r>
      <w:r w:rsidRPr="00EB4CFD">
        <w:rPr>
          <w:rFonts w:asciiTheme="minorHAnsi" w:eastAsiaTheme="minorHAnsi" w:hAnsiTheme="minorHAnsi"/>
          <w:color w:val="auto"/>
          <w:sz w:val="20"/>
          <w:szCs w:val="20"/>
          <w:lang w:val="sr-Cyrl-RS" w:eastAsia="en-US"/>
        </w:rPr>
        <w:t xml:space="preserve">, </w:t>
      </w:r>
      <w:r w:rsidRPr="00EB4CFD">
        <w:rPr>
          <w:rFonts w:asciiTheme="minorHAnsi" w:eastAsiaTheme="minorHAnsi" w:hAnsiTheme="minorHAnsi"/>
          <w:color w:val="auto"/>
          <w:sz w:val="20"/>
          <w:szCs w:val="20"/>
          <w:lang w:eastAsia="en-US"/>
        </w:rPr>
        <w:t>u</w:t>
      </w:r>
      <w:r w:rsidRPr="00EB4CFD">
        <w:rPr>
          <w:rFonts w:asciiTheme="minorHAnsi" w:eastAsiaTheme="minorHAnsi" w:hAnsiTheme="minorHAnsi"/>
          <w:color w:val="auto"/>
          <w:sz w:val="20"/>
          <w:szCs w:val="20"/>
          <w:lang w:val="sr-Cyrl-RS" w:eastAsia="en-US"/>
        </w:rPr>
        <w:t xml:space="preserve"> </w:t>
      </w:r>
      <w:r w:rsidRPr="00EB4CFD">
        <w:rPr>
          <w:rFonts w:asciiTheme="minorHAnsi" w:eastAsiaTheme="minorHAnsi" w:hAnsiTheme="minorHAnsi"/>
          <w:color w:val="auto"/>
          <w:sz w:val="20"/>
          <w:szCs w:val="20"/>
          <w:lang w:eastAsia="en-US"/>
        </w:rPr>
        <w:t xml:space="preserve">Fondu </w:t>
      </w:r>
      <w:r w:rsidRPr="00EB4CFD">
        <w:rPr>
          <w:rFonts w:asciiTheme="minorHAnsi" w:eastAsiaTheme="minorHAnsi" w:hAnsiTheme="minorHAnsi"/>
          <w:color w:val="auto"/>
          <w:sz w:val="20"/>
          <w:szCs w:val="20"/>
          <w:lang w:val="sr-Cyrl-RS" w:eastAsia="en-US"/>
        </w:rPr>
        <w:t>su</w:t>
      </w:r>
      <w:r w:rsidRPr="00EB4CFD">
        <w:rPr>
          <w:rFonts w:asciiTheme="minorHAnsi" w:eastAsiaTheme="minorHAnsi" w:hAnsiTheme="minorHAnsi"/>
          <w:color w:val="auto"/>
          <w:sz w:val="20"/>
          <w:szCs w:val="20"/>
          <w:lang w:eastAsia="en-US"/>
        </w:rPr>
        <w:t xml:space="preserve"> sistematizovan</w:t>
      </w:r>
      <w:r w:rsidRPr="00EB4CFD">
        <w:rPr>
          <w:rFonts w:asciiTheme="minorHAnsi" w:eastAsiaTheme="minorHAnsi" w:hAnsiTheme="minorHAnsi"/>
          <w:color w:val="auto"/>
          <w:sz w:val="20"/>
          <w:szCs w:val="20"/>
          <w:lang w:val="sr-Cyrl-RS" w:eastAsia="en-US"/>
        </w:rPr>
        <w:t>a</w:t>
      </w:r>
      <w:r w:rsidRPr="00EB4CFD">
        <w:rPr>
          <w:rFonts w:asciiTheme="minorHAnsi" w:eastAsiaTheme="minorHAnsi" w:hAnsiTheme="minorHAnsi"/>
          <w:color w:val="auto"/>
          <w:sz w:val="20"/>
          <w:szCs w:val="20"/>
          <w:lang w:eastAsia="en-US"/>
        </w:rPr>
        <w:t xml:space="preserve"> </w:t>
      </w:r>
      <w:r>
        <w:rPr>
          <w:rFonts w:asciiTheme="minorHAnsi" w:eastAsiaTheme="minorHAnsi" w:hAnsiTheme="minorHAnsi"/>
          <w:color w:val="auto"/>
          <w:sz w:val="20"/>
          <w:szCs w:val="20"/>
          <w:lang w:eastAsia="en-US"/>
        </w:rPr>
        <w:t>23</w:t>
      </w:r>
      <w:r w:rsidRPr="00EB4CFD">
        <w:rPr>
          <w:rFonts w:asciiTheme="minorHAnsi" w:eastAsiaTheme="minorHAnsi" w:hAnsiTheme="minorHAnsi"/>
          <w:color w:val="auto"/>
          <w:sz w:val="20"/>
          <w:szCs w:val="20"/>
          <w:lang w:eastAsia="en-US"/>
        </w:rPr>
        <w:t xml:space="preserve"> radn</w:t>
      </w:r>
      <w:r w:rsidRPr="00EB4CFD">
        <w:rPr>
          <w:rFonts w:asciiTheme="minorHAnsi" w:eastAsiaTheme="minorHAnsi" w:hAnsiTheme="minorHAnsi"/>
          <w:color w:val="auto"/>
          <w:sz w:val="20"/>
          <w:szCs w:val="20"/>
          <w:lang w:val="sr-Cyrl-BA" w:eastAsia="en-US"/>
        </w:rPr>
        <w:t>a</w:t>
      </w:r>
      <w:r w:rsidRPr="00EB4CFD">
        <w:rPr>
          <w:rFonts w:asciiTheme="minorHAnsi" w:eastAsiaTheme="minorHAnsi" w:hAnsiTheme="minorHAnsi"/>
          <w:color w:val="auto"/>
          <w:sz w:val="20"/>
          <w:szCs w:val="20"/>
          <w:lang w:eastAsia="en-US"/>
        </w:rPr>
        <w:t xml:space="preserve"> mjesta</w:t>
      </w:r>
      <w:r>
        <w:rPr>
          <w:rFonts w:asciiTheme="minorHAnsi" w:eastAsiaTheme="minorHAnsi" w:hAnsiTheme="minorHAnsi"/>
          <w:color w:val="auto"/>
          <w:sz w:val="20"/>
          <w:szCs w:val="20"/>
          <w:lang w:val="sr-Cyrl-RS" w:eastAsia="en-US"/>
        </w:rPr>
        <w:t xml:space="preserve"> sa 31 izvršiocem</w:t>
      </w:r>
      <w:r w:rsidRPr="00EB4CFD">
        <w:rPr>
          <w:rFonts w:asciiTheme="minorHAnsi" w:eastAsiaTheme="minorHAnsi" w:hAnsiTheme="minorHAnsi"/>
          <w:color w:val="auto"/>
          <w:sz w:val="20"/>
          <w:szCs w:val="20"/>
          <w:lang w:val="sr-Cyrl-BA" w:eastAsia="en-US"/>
        </w:rPr>
        <w:t xml:space="preserve">. </w:t>
      </w:r>
      <w:r w:rsidRPr="00EB4CFD">
        <w:rPr>
          <w:rFonts w:asciiTheme="minorHAnsi" w:eastAsiaTheme="minorHAnsi" w:hAnsiTheme="minorHAnsi"/>
          <w:color w:val="auto"/>
          <w:sz w:val="20"/>
          <w:szCs w:val="20"/>
          <w:lang w:val="sr-Cyrl-RS" w:eastAsia="en-US"/>
        </w:rPr>
        <w:t>Na dan</w:t>
      </w:r>
      <w:r w:rsidRPr="00EB4CFD">
        <w:rPr>
          <w:rFonts w:asciiTheme="minorHAnsi" w:eastAsiaTheme="minorHAnsi" w:hAnsiTheme="minorHAnsi"/>
          <w:color w:val="auto"/>
          <w:sz w:val="20"/>
          <w:szCs w:val="20"/>
          <w:lang w:eastAsia="en-US"/>
        </w:rPr>
        <w:t xml:space="preserve"> 31.12.20</w:t>
      </w:r>
      <w:r w:rsidRPr="00EB4CFD">
        <w:rPr>
          <w:rFonts w:asciiTheme="minorHAnsi" w:eastAsiaTheme="minorHAnsi" w:hAnsiTheme="minorHAnsi"/>
          <w:color w:val="auto"/>
          <w:sz w:val="20"/>
          <w:szCs w:val="20"/>
          <w:lang w:val="sr-Cyrl-BA" w:eastAsia="en-US"/>
        </w:rPr>
        <w:t>2</w:t>
      </w:r>
      <w:r>
        <w:rPr>
          <w:rFonts w:asciiTheme="minorHAnsi" w:eastAsiaTheme="minorHAnsi" w:hAnsiTheme="minorHAnsi"/>
          <w:color w:val="auto"/>
          <w:sz w:val="20"/>
          <w:szCs w:val="20"/>
          <w:lang w:val="sr-Cyrl-RS" w:eastAsia="en-US"/>
        </w:rPr>
        <w:t>4</w:t>
      </w:r>
      <w:r w:rsidRPr="00EB4CFD">
        <w:rPr>
          <w:rFonts w:asciiTheme="minorHAnsi" w:eastAsiaTheme="minorHAnsi" w:hAnsiTheme="minorHAnsi"/>
          <w:color w:val="auto"/>
          <w:sz w:val="20"/>
          <w:szCs w:val="20"/>
          <w:lang w:eastAsia="en-US"/>
        </w:rPr>
        <w:t>. godine</w:t>
      </w:r>
      <w:r w:rsidRPr="00EB4CFD">
        <w:rPr>
          <w:rFonts w:asciiTheme="minorHAnsi" w:eastAsiaTheme="minorHAnsi" w:hAnsiTheme="minorHAnsi"/>
          <w:color w:val="auto"/>
          <w:sz w:val="20"/>
          <w:szCs w:val="20"/>
          <w:lang w:val="sr-Cyrl-RS" w:eastAsia="en-US"/>
        </w:rPr>
        <w:t>,</w:t>
      </w:r>
      <w:r w:rsidRPr="00EB4CFD">
        <w:rPr>
          <w:rFonts w:asciiTheme="minorHAnsi" w:eastAsiaTheme="minorHAnsi" w:hAnsiTheme="minorHAnsi"/>
          <w:color w:val="auto"/>
          <w:sz w:val="20"/>
          <w:szCs w:val="20"/>
          <w:lang w:eastAsia="en-US"/>
        </w:rPr>
        <w:t xml:space="preserve"> popunjen</w:t>
      </w:r>
      <w:r>
        <w:rPr>
          <w:rFonts w:asciiTheme="minorHAnsi" w:eastAsiaTheme="minorHAnsi" w:hAnsiTheme="minorHAnsi"/>
          <w:color w:val="auto"/>
          <w:sz w:val="20"/>
          <w:szCs w:val="20"/>
          <w:lang w:val="sr-Cyrl-RS" w:eastAsia="en-US"/>
        </w:rPr>
        <w:t xml:space="preserve">o je 18 </w:t>
      </w:r>
      <w:r w:rsidRPr="00EB4CFD">
        <w:rPr>
          <w:rFonts w:asciiTheme="minorHAnsi" w:eastAsiaTheme="minorHAnsi" w:hAnsiTheme="minorHAnsi"/>
          <w:color w:val="auto"/>
          <w:sz w:val="20"/>
          <w:szCs w:val="20"/>
          <w:lang w:eastAsia="en-US"/>
        </w:rPr>
        <w:t>radn</w:t>
      </w:r>
      <w:r>
        <w:rPr>
          <w:rFonts w:asciiTheme="minorHAnsi" w:eastAsiaTheme="minorHAnsi" w:hAnsiTheme="minorHAnsi"/>
          <w:color w:val="auto"/>
          <w:sz w:val="20"/>
          <w:szCs w:val="20"/>
          <w:lang w:val="sr-Cyrl-RS" w:eastAsia="en-US"/>
        </w:rPr>
        <w:t>ih</w:t>
      </w:r>
      <w:r w:rsidRPr="00EB4CFD">
        <w:rPr>
          <w:rFonts w:asciiTheme="minorHAnsi" w:eastAsiaTheme="minorHAnsi" w:hAnsiTheme="minorHAnsi"/>
          <w:color w:val="auto"/>
          <w:sz w:val="20"/>
          <w:szCs w:val="20"/>
          <w:lang w:eastAsia="en-US"/>
        </w:rPr>
        <w:t xml:space="preserve"> mjesta </w:t>
      </w:r>
      <w:r>
        <w:rPr>
          <w:rFonts w:asciiTheme="minorHAnsi" w:eastAsiaTheme="minorHAnsi" w:hAnsiTheme="minorHAnsi"/>
          <w:color w:val="auto"/>
          <w:sz w:val="20"/>
          <w:szCs w:val="20"/>
          <w:lang w:val="sr-Cyrl-BA" w:eastAsia="en-US"/>
        </w:rPr>
        <w:t>predviđenih</w:t>
      </w:r>
      <w:r w:rsidRPr="00EB4CFD">
        <w:rPr>
          <w:rFonts w:asciiTheme="minorHAnsi" w:eastAsiaTheme="minorHAnsi" w:hAnsiTheme="minorHAnsi"/>
          <w:color w:val="auto"/>
          <w:sz w:val="20"/>
          <w:szCs w:val="20"/>
          <w:lang w:val="sr-Cyrl-BA" w:eastAsia="en-US"/>
        </w:rPr>
        <w:t xml:space="preserve"> sistematizacijom</w:t>
      </w:r>
      <w:r>
        <w:rPr>
          <w:rFonts w:asciiTheme="minorHAnsi" w:eastAsiaTheme="minorHAnsi" w:hAnsiTheme="minorHAnsi"/>
          <w:color w:val="auto"/>
          <w:sz w:val="20"/>
          <w:szCs w:val="20"/>
          <w:lang w:val="sr-Cyrl-BA" w:eastAsia="en-US"/>
        </w:rPr>
        <w:t xml:space="preserve"> sa 24 zaposlen</w:t>
      </w:r>
      <w:r>
        <w:rPr>
          <w:rFonts w:asciiTheme="minorHAnsi" w:eastAsiaTheme="minorHAnsi" w:hAnsiTheme="minorHAnsi"/>
          <w:color w:val="auto"/>
          <w:sz w:val="20"/>
          <w:szCs w:val="20"/>
          <w:lang w:val="sr-Cyrl-RS" w:eastAsia="en-US"/>
        </w:rPr>
        <w:t>a</w:t>
      </w:r>
      <w:r>
        <w:rPr>
          <w:rFonts w:asciiTheme="minorHAnsi" w:eastAsiaTheme="minorHAnsi" w:hAnsiTheme="minorHAnsi"/>
          <w:color w:val="auto"/>
          <w:sz w:val="20"/>
          <w:szCs w:val="20"/>
          <w:lang w:val="sr-Cyrl-BA" w:eastAsia="en-US"/>
        </w:rPr>
        <w:t xml:space="preserve"> radnika</w:t>
      </w:r>
      <w:r w:rsidRPr="00EB4CFD">
        <w:rPr>
          <w:rFonts w:asciiTheme="minorHAnsi" w:eastAsiaTheme="minorHAnsi" w:hAnsiTheme="minorHAnsi"/>
          <w:color w:val="auto"/>
          <w:sz w:val="20"/>
          <w:szCs w:val="20"/>
          <w:lang w:val="sr-Cyrl-BA" w:eastAsia="en-US"/>
        </w:rPr>
        <w:t>. K</w:t>
      </w:r>
      <w:r w:rsidRPr="00EB4CFD">
        <w:rPr>
          <w:rFonts w:asciiTheme="minorHAnsi" w:eastAsiaTheme="minorHAnsi" w:hAnsiTheme="minorHAnsi"/>
          <w:color w:val="auto"/>
          <w:sz w:val="20"/>
          <w:szCs w:val="20"/>
          <w:lang w:eastAsia="en-US"/>
        </w:rPr>
        <w:t>valifikacion</w:t>
      </w:r>
      <w:r w:rsidRPr="00EB4CFD">
        <w:rPr>
          <w:rFonts w:asciiTheme="minorHAnsi" w:eastAsiaTheme="minorHAnsi" w:hAnsiTheme="minorHAnsi"/>
          <w:color w:val="auto"/>
          <w:sz w:val="20"/>
          <w:szCs w:val="20"/>
          <w:lang w:val="sr-Cyrl-RS" w:eastAsia="en-US"/>
        </w:rPr>
        <w:t>u</w:t>
      </w:r>
      <w:r w:rsidRPr="00EB4CFD">
        <w:rPr>
          <w:rFonts w:asciiTheme="minorHAnsi" w:eastAsiaTheme="minorHAnsi" w:hAnsiTheme="minorHAnsi"/>
          <w:color w:val="auto"/>
          <w:sz w:val="20"/>
          <w:szCs w:val="20"/>
          <w:lang w:eastAsia="en-US"/>
        </w:rPr>
        <w:t xml:space="preserve"> struktur</w:t>
      </w:r>
      <w:r w:rsidRPr="00EB4CFD">
        <w:rPr>
          <w:rFonts w:asciiTheme="minorHAnsi" w:eastAsiaTheme="minorHAnsi" w:hAnsiTheme="minorHAnsi"/>
          <w:color w:val="auto"/>
          <w:sz w:val="20"/>
          <w:szCs w:val="20"/>
          <w:lang w:val="sr-Cyrl-RS" w:eastAsia="en-US"/>
        </w:rPr>
        <w:t>u</w:t>
      </w:r>
      <w:r w:rsidRPr="00EB4CFD">
        <w:rPr>
          <w:rFonts w:asciiTheme="minorHAnsi" w:eastAsiaTheme="minorHAnsi" w:hAnsiTheme="minorHAnsi"/>
          <w:color w:val="auto"/>
          <w:sz w:val="20"/>
          <w:szCs w:val="20"/>
          <w:lang w:eastAsia="en-US"/>
        </w:rPr>
        <w:t xml:space="preserve"> zaposlenih</w:t>
      </w:r>
      <w:r w:rsidRPr="00EB4CFD">
        <w:rPr>
          <w:rFonts w:asciiTheme="minorHAnsi" w:eastAsiaTheme="minorHAnsi" w:hAnsiTheme="minorHAnsi"/>
          <w:color w:val="auto"/>
          <w:sz w:val="20"/>
          <w:szCs w:val="20"/>
          <w:lang w:val="sr-Cyrl-RS" w:eastAsia="en-US"/>
        </w:rPr>
        <w:t xml:space="preserve"> čini </w:t>
      </w:r>
      <w:r w:rsidRPr="00EB4CFD">
        <w:rPr>
          <w:rFonts w:asciiTheme="minorHAnsi" w:eastAsiaTheme="minorHAnsi" w:hAnsiTheme="minorHAnsi"/>
          <w:color w:val="auto"/>
          <w:sz w:val="20"/>
          <w:szCs w:val="20"/>
          <w:lang w:val="sr-Cyrl-BA" w:eastAsia="en-US"/>
        </w:rPr>
        <w:t>20</w:t>
      </w:r>
      <w:r w:rsidRPr="00EB4CFD">
        <w:rPr>
          <w:rFonts w:asciiTheme="minorHAnsi" w:eastAsiaTheme="minorHAnsi" w:hAnsiTheme="minorHAnsi"/>
          <w:color w:val="auto"/>
          <w:sz w:val="20"/>
          <w:szCs w:val="20"/>
          <w:lang w:eastAsia="en-US"/>
        </w:rPr>
        <w:t xml:space="preserve"> radnika </w:t>
      </w:r>
      <w:r w:rsidRPr="00EB4CFD">
        <w:rPr>
          <w:rFonts w:asciiTheme="minorHAnsi" w:eastAsiaTheme="minorHAnsi" w:hAnsiTheme="minorHAnsi"/>
          <w:color w:val="auto"/>
          <w:sz w:val="20"/>
          <w:szCs w:val="20"/>
          <w:lang w:val="sr-Cyrl-RS" w:eastAsia="en-US"/>
        </w:rPr>
        <w:t xml:space="preserve">sa visokom stručnom spremom i </w:t>
      </w:r>
      <w:r>
        <w:rPr>
          <w:rFonts w:asciiTheme="minorHAnsi" w:eastAsiaTheme="minorHAnsi" w:hAnsiTheme="minorHAnsi"/>
          <w:color w:val="auto"/>
          <w:sz w:val="20"/>
          <w:szCs w:val="20"/>
          <w:lang w:val="sr-Cyrl-RS" w:eastAsia="en-US"/>
        </w:rPr>
        <w:t>4</w:t>
      </w:r>
      <w:r w:rsidRPr="00EB4CFD">
        <w:rPr>
          <w:rFonts w:asciiTheme="minorHAnsi" w:eastAsiaTheme="minorHAnsi" w:hAnsiTheme="minorHAnsi"/>
          <w:color w:val="auto"/>
          <w:sz w:val="20"/>
          <w:szCs w:val="20"/>
          <w:lang w:val="sr-Cyrl-RS" w:eastAsia="en-US"/>
        </w:rPr>
        <w:t xml:space="preserve"> radnika sa srednjom stručnom spremom. </w:t>
      </w:r>
    </w:p>
    <w:p w:rsidR="005934B2" w:rsidRPr="00EB4CFD"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775661"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775661">
        <w:rPr>
          <w:rFonts w:asciiTheme="minorHAnsi" w:eastAsiaTheme="minorHAnsi" w:hAnsiTheme="minorHAnsi"/>
          <w:color w:val="auto"/>
          <w:sz w:val="20"/>
          <w:szCs w:val="20"/>
          <w:lang w:eastAsia="en-US"/>
        </w:rPr>
        <w:t>Izvještavanje o radu Garantnog fonda RS regulisano je odredbama Zakona, a svi</w:t>
      </w:r>
      <w:r w:rsidRP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eastAsia="en-US"/>
        </w:rPr>
        <w:t>organi posredno ili neposredno podnose svoje izvještaje o radu i djelovanju</w:t>
      </w:r>
      <w:r w:rsidRPr="00775661">
        <w:rPr>
          <w:rFonts w:asciiTheme="minorHAnsi" w:eastAsiaTheme="minorHAnsi" w:hAnsiTheme="minorHAnsi"/>
          <w:color w:val="auto"/>
          <w:sz w:val="20"/>
          <w:szCs w:val="20"/>
          <w:lang w:val="sr-Cyrl-BA" w:eastAsia="en-US"/>
        </w:rPr>
        <w:t xml:space="preserve"> </w:t>
      </w:r>
      <w:r w:rsidRPr="00775661">
        <w:rPr>
          <w:rFonts w:asciiTheme="minorHAnsi" w:eastAsiaTheme="minorHAnsi" w:hAnsiTheme="minorHAnsi"/>
          <w:color w:val="auto"/>
          <w:sz w:val="20"/>
          <w:szCs w:val="20"/>
          <w:lang w:eastAsia="en-US"/>
        </w:rPr>
        <w:t>Skupštini akcionara.</w:t>
      </w:r>
    </w:p>
    <w:p w:rsidR="005934B2" w:rsidRPr="007A29C2" w:rsidRDefault="005934B2" w:rsidP="00A401F8">
      <w:pPr>
        <w:autoSpaceDE w:val="0"/>
        <w:autoSpaceDN w:val="0"/>
        <w:adjustRightInd w:val="0"/>
        <w:rPr>
          <w:rFonts w:asciiTheme="minorHAnsi" w:eastAsiaTheme="minorHAnsi" w:hAnsiTheme="minorHAnsi"/>
          <w:color w:val="FF0000"/>
          <w:sz w:val="20"/>
          <w:szCs w:val="20"/>
          <w:lang w:val="sr-Cyrl-RS" w:eastAsia="en-US"/>
        </w:rPr>
      </w:pPr>
    </w:p>
    <w:p w:rsidR="005934B2" w:rsidRDefault="005934B2" w:rsidP="00A401F8">
      <w:pPr>
        <w:autoSpaceDE w:val="0"/>
        <w:autoSpaceDN w:val="0"/>
        <w:adjustRightInd w:val="0"/>
        <w:rPr>
          <w:rFonts w:asciiTheme="minorHAnsi" w:eastAsiaTheme="minorHAnsi" w:hAnsiTheme="minorHAnsi"/>
          <w:color w:val="FF0000"/>
          <w:sz w:val="20"/>
          <w:szCs w:val="20"/>
          <w:lang w:val="sr-Cyrl-RS" w:eastAsia="en-US"/>
        </w:rPr>
      </w:pPr>
    </w:p>
    <w:p w:rsidR="005934B2" w:rsidRDefault="005934B2" w:rsidP="00A401F8">
      <w:pPr>
        <w:autoSpaceDE w:val="0"/>
        <w:autoSpaceDN w:val="0"/>
        <w:adjustRightInd w:val="0"/>
        <w:rPr>
          <w:rFonts w:asciiTheme="minorHAnsi" w:eastAsiaTheme="minorHAnsi" w:hAnsiTheme="minorHAnsi"/>
          <w:color w:val="FF0000"/>
          <w:sz w:val="20"/>
          <w:szCs w:val="20"/>
          <w:lang w:val="sr-Cyrl-RS" w:eastAsia="en-US"/>
        </w:rPr>
      </w:pPr>
    </w:p>
    <w:p w:rsidR="005934B2" w:rsidRDefault="005934B2" w:rsidP="00A401F8">
      <w:pPr>
        <w:autoSpaceDE w:val="0"/>
        <w:autoSpaceDN w:val="0"/>
        <w:adjustRightInd w:val="0"/>
        <w:rPr>
          <w:rFonts w:asciiTheme="minorHAnsi" w:eastAsiaTheme="minorHAnsi" w:hAnsiTheme="minorHAnsi"/>
          <w:color w:val="FF0000"/>
          <w:sz w:val="20"/>
          <w:szCs w:val="20"/>
          <w:lang w:val="sr-Cyrl-RS" w:eastAsia="en-US"/>
        </w:rPr>
      </w:pPr>
    </w:p>
    <w:p w:rsidR="005934B2" w:rsidRPr="003B5CD3" w:rsidRDefault="005934B2" w:rsidP="00A401F8">
      <w:pPr>
        <w:autoSpaceDE w:val="0"/>
        <w:autoSpaceDN w:val="0"/>
        <w:adjustRightInd w:val="0"/>
        <w:rPr>
          <w:rFonts w:asciiTheme="minorHAnsi" w:eastAsiaTheme="minorHAnsi" w:hAnsiTheme="minorHAnsi"/>
          <w:color w:val="FF0000"/>
          <w:sz w:val="20"/>
          <w:szCs w:val="20"/>
          <w:lang w:val="sr-Cyrl-RS" w:eastAsia="en-US"/>
        </w:rPr>
      </w:pPr>
    </w:p>
    <w:p w:rsidR="005934B2" w:rsidRPr="00D01BB3" w:rsidRDefault="005934B2" w:rsidP="00A401F8">
      <w:pPr>
        <w:pStyle w:val="Heading1"/>
        <w:numPr>
          <w:ilvl w:val="0"/>
          <w:numId w:val="0"/>
        </w:numPr>
        <w:rPr>
          <w:rFonts w:asciiTheme="minorHAnsi" w:eastAsiaTheme="minorHAnsi" w:hAnsiTheme="minorHAnsi"/>
          <w:lang w:val="sr-Cyrl-RS"/>
        </w:rPr>
      </w:pPr>
      <w:bookmarkStart w:id="4" w:name="_Toc135292168"/>
      <w:r>
        <w:rPr>
          <w:rFonts w:asciiTheme="minorHAnsi" w:eastAsiaTheme="minorHAnsi" w:hAnsiTheme="minorHAnsi"/>
          <w:lang w:val="sr-Cyrl-RS"/>
        </w:rPr>
        <w:lastRenderedPageBreak/>
        <w:t xml:space="preserve">2.         </w:t>
      </w:r>
      <w:r w:rsidRPr="005767EF">
        <w:rPr>
          <w:rFonts w:asciiTheme="minorHAnsi" w:eastAsiaTheme="minorHAnsi" w:hAnsiTheme="minorHAnsi"/>
        </w:rPr>
        <w:t xml:space="preserve">ANALIZA </w:t>
      </w:r>
      <w:r>
        <w:rPr>
          <w:rFonts w:asciiTheme="minorHAnsi" w:eastAsiaTheme="minorHAnsi" w:hAnsiTheme="minorHAnsi"/>
          <w:lang w:val="sr-Cyrl-RS"/>
        </w:rPr>
        <w:t xml:space="preserve">IZDANIH </w:t>
      </w:r>
      <w:r>
        <w:rPr>
          <w:rFonts w:asciiTheme="minorHAnsi" w:hAnsiTheme="minorHAnsi"/>
          <w:color w:val="000000" w:themeColor="text1"/>
          <w:lang w:val="sr-Cyrl-RS"/>
        </w:rPr>
        <w:t xml:space="preserve"> GARANCIJ</w:t>
      </w:r>
      <w:r w:rsidRPr="00847319">
        <w:rPr>
          <w:rFonts w:asciiTheme="minorHAnsi" w:hAnsiTheme="minorHAnsi"/>
          <w:color w:val="000000" w:themeColor="text1"/>
          <w:lang w:val="sr-Cyrl-RS"/>
        </w:rPr>
        <w:t xml:space="preserve">A </w:t>
      </w:r>
      <w:r w:rsidRPr="005767EF">
        <w:rPr>
          <w:rFonts w:asciiTheme="minorHAnsi" w:eastAsiaTheme="minorHAnsi" w:hAnsiTheme="minorHAnsi"/>
        </w:rPr>
        <w:t>U 202</w:t>
      </w:r>
      <w:r>
        <w:rPr>
          <w:rFonts w:asciiTheme="minorHAnsi" w:eastAsiaTheme="minorHAnsi" w:hAnsiTheme="minorHAnsi"/>
          <w:lang w:val="sr-Cyrl-BA"/>
        </w:rPr>
        <w:t>4</w:t>
      </w:r>
      <w:r w:rsidRPr="005767EF">
        <w:rPr>
          <w:rFonts w:asciiTheme="minorHAnsi" w:eastAsiaTheme="minorHAnsi" w:hAnsiTheme="minorHAnsi"/>
        </w:rPr>
        <w:t>. GODINI</w:t>
      </w:r>
      <w:bookmarkStart w:id="5" w:name="_Toc514323447"/>
      <w:bookmarkStart w:id="6" w:name="_Toc135292169"/>
      <w:bookmarkEnd w:id="4"/>
    </w:p>
    <w:p w:rsidR="005934B2" w:rsidRDefault="005934B2" w:rsidP="00A401F8">
      <w:pPr>
        <w:pStyle w:val="Heading2"/>
        <w:numPr>
          <w:ilvl w:val="0"/>
          <w:numId w:val="0"/>
        </w:numPr>
        <w:spacing w:line="240" w:lineRule="auto"/>
        <w:rPr>
          <w:rFonts w:asciiTheme="minorHAnsi" w:hAnsiTheme="minorHAnsi"/>
          <w:color w:val="000000" w:themeColor="text1"/>
          <w:szCs w:val="20"/>
          <w:lang w:val="sr-Cyrl-RS"/>
        </w:rPr>
      </w:pPr>
      <w:r>
        <w:rPr>
          <w:rFonts w:asciiTheme="minorHAnsi" w:hAnsiTheme="minorHAnsi"/>
          <w:color w:val="000000" w:themeColor="text1"/>
          <w:szCs w:val="20"/>
          <w:lang w:val="sr-Cyrl-RS"/>
        </w:rPr>
        <w:t xml:space="preserve">Garantni fond je u 2024. godini izdao 101 garanciju u iznosu od </w:t>
      </w:r>
      <w:r w:rsidRPr="00077D9C">
        <w:rPr>
          <w:rFonts w:asciiTheme="minorHAnsi" w:hAnsiTheme="minorHAnsi"/>
          <w:b/>
          <w:color w:val="000000" w:themeColor="text1"/>
          <w:szCs w:val="20"/>
          <w:lang w:val="sr-Cyrl-RS"/>
        </w:rPr>
        <w:t>15.787.275,00 KM</w:t>
      </w:r>
      <w:r>
        <w:rPr>
          <w:rFonts w:asciiTheme="minorHAnsi" w:hAnsiTheme="minorHAnsi"/>
          <w:color w:val="000000" w:themeColor="text1"/>
          <w:szCs w:val="20"/>
          <w:lang w:val="sr-Cyrl-RS"/>
        </w:rPr>
        <w:t xml:space="preserve">, čime je podržano </w:t>
      </w:r>
      <w:r>
        <w:rPr>
          <w:rFonts w:asciiTheme="minorHAnsi" w:hAnsiTheme="minorHAnsi"/>
          <w:b/>
          <w:color w:val="000000" w:themeColor="text1"/>
          <w:szCs w:val="20"/>
          <w:lang w:val="sr-Cyrl-RS"/>
        </w:rPr>
        <w:t xml:space="preserve">31.574.550,00 </w:t>
      </w:r>
      <w:r w:rsidRPr="00077D9C">
        <w:rPr>
          <w:rFonts w:asciiTheme="minorHAnsi" w:hAnsiTheme="minorHAnsi"/>
          <w:b/>
          <w:color w:val="000000" w:themeColor="text1"/>
          <w:szCs w:val="20"/>
          <w:lang w:val="sr-Cyrl-RS"/>
        </w:rPr>
        <w:t>KM</w:t>
      </w:r>
      <w:r>
        <w:rPr>
          <w:rFonts w:asciiTheme="minorHAnsi" w:hAnsiTheme="minorHAnsi"/>
          <w:color w:val="000000" w:themeColor="text1"/>
          <w:szCs w:val="20"/>
          <w:lang w:val="sr-Cyrl-RS"/>
        </w:rPr>
        <w:t xml:space="preserve"> kreditnih plasmana preduzetnicima i malim i srednjim preduzećima širom Republike Srpske. Od osnivanja do danas, izdane garancije Fonda su premašile vrijednost od 111 miliona KM, čime je omogućen plasman 278 miliona KM kreditnih sredstava. </w:t>
      </w:r>
    </w:p>
    <w:p w:rsidR="005934B2" w:rsidRDefault="005934B2" w:rsidP="00A401F8">
      <w:pPr>
        <w:pStyle w:val="Heading2"/>
        <w:numPr>
          <w:ilvl w:val="0"/>
          <w:numId w:val="0"/>
        </w:numPr>
        <w:spacing w:line="240" w:lineRule="auto"/>
        <w:rPr>
          <w:rFonts w:asciiTheme="minorHAnsi" w:hAnsiTheme="minorHAnsi"/>
          <w:color w:val="000000" w:themeColor="text1"/>
          <w:szCs w:val="20"/>
          <w:lang w:val="sr-Cyrl-RS"/>
        </w:rPr>
      </w:pPr>
    </w:p>
    <w:p w:rsidR="005934B2" w:rsidRDefault="005934B2" w:rsidP="00A401F8">
      <w:pPr>
        <w:pStyle w:val="Heading2"/>
        <w:numPr>
          <w:ilvl w:val="0"/>
          <w:numId w:val="0"/>
        </w:numPr>
        <w:spacing w:line="240" w:lineRule="auto"/>
        <w:rPr>
          <w:rFonts w:asciiTheme="minorHAnsi" w:hAnsiTheme="minorHAnsi"/>
          <w:color w:val="000000" w:themeColor="text1"/>
          <w:szCs w:val="20"/>
          <w:lang w:val="sr-Cyrl-RS"/>
        </w:rPr>
      </w:pPr>
      <w:r>
        <w:rPr>
          <w:rFonts w:asciiTheme="minorHAnsi" w:hAnsiTheme="minorHAnsi"/>
          <w:color w:val="000000" w:themeColor="text1"/>
          <w:szCs w:val="20"/>
          <w:lang w:val="sr-Cyrl-RS"/>
        </w:rPr>
        <w:t>Garantna aktivnost Fonda se odvija u 3 glavna segmenta: garancije u okviru garantnih linija, garancije u okviru kreditnog portfelja i garancije na emitovane hartije od vrijednosti.</w:t>
      </w:r>
    </w:p>
    <w:p w:rsidR="005934B2" w:rsidRDefault="005934B2" w:rsidP="00A401F8">
      <w:pPr>
        <w:pStyle w:val="Heading2"/>
        <w:numPr>
          <w:ilvl w:val="0"/>
          <w:numId w:val="0"/>
        </w:numPr>
        <w:spacing w:line="240" w:lineRule="auto"/>
        <w:rPr>
          <w:rFonts w:asciiTheme="minorHAnsi" w:hAnsiTheme="minorHAnsi"/>
          <w:color w:val="000000" w:themeColor="text1"/>
          <w:szCs w:val="20"/>
          <w:lang w:val="sr-Cyrl-RS"/>
        </w:rPr>
      </w:pPr>
    </w:p>
    <w:p w:rsidR="005934B2" w:rsidRDefault="005934B2" w:rsidP="00A401F8">
      <w:pPr>
        <w:pStyle w:val="Heading2"/>
        <w:numPr>
          <w:ilvl w:val="0"/>
          <w:numId w:val="0"/>
        </w:numPr>
        <w:spacing w:line="240" w:lineRule="auto"/>
        <w:rPr>
          <w:rFonts w:asciiTheme="minorHAnsi" w:hAnsiTheme="minorHAnsi"/>
          <w:color w:val="000000" w:themeColor="text1"/>
          <w:szCs w:val="20"/>
          <w:lang w:val="sr-Cyrl-RS"/>
        </w:rPr>
      </w:pPr>
      <w:r>
        <w:rPr>
          <w:rFonts w:asciiTheme="minorHAnsi" w:hAnsiTheme="minorHAnsi"/>
          <w:color w:val="000000" w:themeColor="text1"/>
          <w:szCs w:val="20"/>
          <w:lang w:val="sr-Cyrl-RS"/>
        </w:rPr>
        <w:t xml:space="preserve">Od kraja 2019. godine, kada je </w:t>
      </w:r>
      <w:r>
        <w:rPr>
          <w:rFonts w:asciiTheme="minorHAnsi" w:hAnsiTheme="minorHAnsi"/>
          <w:szCs w:val="20"/>
          <w:lang w:val="sr-Cyrl-BA"/>
        </w:rPr>
        <w:t>O</w:t>
      </w:r>
      <w:r w:rsidRPr="005767EF">
        <w:rPr>
          <w:rFonts w:asciiTheme="minorHAnsi" w:hAnsiTheme="minorHAnsi"/>
          <w:szCs w:val="20"/>
          <w:lang w:val="sr-Cyrl-BA"/>
        </w:rPr>
        <w:t>dredbama člana 2 Zakona o izmjenama i dopunama Zakona o Ga</w:t>
      </w:r>
      <w:r>
        <w:rPr>
          <w:rFonts w:asciiTheme="minorHAnsi" w:hAnsiTheme="minorHAnsi"/>
          <w:szCs w:val="20"/>
          <w:lang w:val="sr-Cyrl-BA"/>
        </w:rPr>
        <w:t>rantnom fondu Republike Srpske (</w:t>
      </w:r>
      <w:r w:rsidRPr="005767EF">
        <w:rPr>
          <w:rFonts w:asciiTheme="minorHAnsi" w:hAnsiTheme="minorHAnsi"/>
          <w:szCs w:val="20"/>
          <w:lang w:val="sr-Cyrl-BA"/>
        </w:rPr>
        <w:t>„Službeni glasnik Republike Srpske</w:t>
      </w:r>
      <w:r>
        <w:rPr>
          <w:rFonts w:asciiTheme="minorHAnsi" w:hAnsiTheme="minorHAnsi"/>
          <w:szCs w:val="20"/>
          <w:lang w:val="sr-Cyrl-BA"/>
        </w:rPr>
        <w:t>“ broj 107/19</w:t>
      </w:r>
      <w:r w:rsidRPr="005767EF">
        <w:rPr>
          <w:rFonts w:asciiTheme="minorHAnsi" w:hAnsiTheme="minorHAnsi"/>
          <w:szCs w:val="20"/>
          <w:lang w:val="sr-Cyrl-BA"/>
        </w:rPr>
        <w:t xml:space="preserve">)  </w:t>
      </w:r>
      <w:r w:rsidRPr="005767EF">
        <w:rPr>
          <w:rFonts w:asciiTheme="minorHAnsi" w:hAnsiTheme="minorHAnsi"/>
          <w:color w:val="000000" w:themeColor="text1"/>
          <w:szCs w:val="20"/>
          <w:lang w:val="sr-Cyrl-BA"/>
        </w:rPr>
        <w:t>i člana 2</w:t>
      </w:r>
      <w:r>
        <w:rPr>
          <w:rFonts w:asciiTheme="minorHAnsi" w:hAnsiTheme="minorHAnsi"/>
          <w:color w:val="000000" w:themeColor="text1"/>
          <w:szCs w:val="20"/>
          <w:lang w:val="sr-Cyrl-BA"/>
        </w:rPr>
        <w:t>,</w:t>
      </w:r>
      <w:r w:rsidRPr="005767EF">
        <w:rPr>
          <w:rFonts w:asciiTheme="minorHAnsi" w:hAnsiTheme="minorHAnsi"/>
          <w:color w:val="000000" w:themeColor="text1"/>
          <w:szCs w:val="20"/>
          <w:lang w:val="sr-Cyrl-BA"/>
        </w:rPr>
        <w:t xml:space="preserve"> stav 3 Pravilnika o odobravanju garancija (</w:t>
      </w:r>
      <w:r w:rsidRPr="005767EF">
        <w:rPr>
          <w:rFonts w:asciiTheme="minorHAnsi" w:hAnsiTheme="minorHAnsi"/>
          <w:noProof/>
          <w:szCs w:val="20"/>
          <w:lang w:val="sr-Cyrl-RS"/>
        </w:rPr>
        <w:t>„Službeni glasnik Republike Srpske“, broj 14</w:t>
      </w:r>
      <w:r w:rsidRPr="005767EF">
        <w:rPr>
          <w:rFonts w:asciiTheme="minorHAnsi" w:hAnsiTheme="minorHAnsi"/>
          <w:noProof/>
          <w:szCs w:val="20"/>
        </w:rPr>
        <w:t>/</w:t>
      </w:r>
      <w:r w:rsidRPr="005767EF">
        <w:rPr>
          <w:rFonts w:asciiTheme="minorHAnsi" w:hAnsiTheme="minorHAnsi"/>
          <w:noProof/>
          <w:szCs w:val="20"/>
          <w:lang w:val="sr-Cyrl-BA"/>
        </w:rPr>
        <w:t>21</w:t>
      </w:r>
      <w:r>
        <w:rPr>
          <w:rFonts w:asciiTheme="minorHAnsi" w:hAnsiTheme="minorHAnsi"/>
          <w:noProof/>
          <w:szCs w:val="20"/>
          <w:lang w:val="sr-Cyrl-RS"/>
        </w:rPr>
        <w:t xml:space="preserve">) uvedena </w:t>
      </w:r>
      <w:r>
        <w:rPr>
          <w:rFonts w:asciiTheme="minorHAnsi" w:hAnsiTheme="minorHAnsi"/>
          <w:color w:val="000000" w:themeColor="text1"/>
          <w:szCs w:val="20"/>
          <w:lang w:val="sr-Cyrl-RS"/>
        </w:rPr>
        <w:t xml:space="preserve">mogućnost izdavanja garancija na kreditni portfelj, ovaj segment poslovanja je postao primarni način odobravanja garancija i zauzeo centralno mjesto u garantnoj aktivnosti Fonda. </w:t>
      </w:r>
    </w:p>
    <w:p w:rsidR="005934B2" w:rsidRDefault="005934B2" w:rsidP="00A401F8">
      <w:pPr>
        <w:pStyle w:val="Heading2"/>
        <w:numPr>
          <w:ilvl w:val="0"/>
          <w:numId w:val="0"/>
        </w:numPr>
        <w:rPr>
          <w:rFonts w:asciiTheme="minorHAnsi" w:hAnsiTheme="minorHAnsi"/>
          <w:color w:val="000000" w:themeColor="text1"/>
          <w:szCs w:val="20"/>
          <w:lang w:val="sr-Cyrl-RS"/>
        </w:rPr>
      </w:pPr>
      <w:r>
        <w:rPr>
          <w:rFonts w:asciiTheme="minorHAnsi" w:hAnsiTheme="minorHAnsi"/>
          <w:color w:val="000000" w:themeColor="text1"/>
          <w:szCs w:val="20"/>
          <w:lang w:val="sr-Cyrl-RS"/>
        </w:rPr>
        <w:t xml:space="preserve"> </w:t>
      </w:r>
    </w:p>
    <w:p w:rsidR="005934B2" w:rsidRPr="00847319" w:rsidRDefault="005934B2" w:rsidP="00A401F8">
      <w:pPr>
        <w:pStyle w:val="Heading2"/>
        <w:numPr>
          <w:ilvl w:val="0"/>
          <w:numId w:val="0"/>
        </w:numPr>
        <w:rPr>
          <w:rFonts w:asciiTheme="minorHAnsi" w:hAnsiTheme="minorHAnsi"/>
          <w:color w:val="000000" w:themeColor="text1"/>
          <w:szCs w:val="20"/>
        </w:rPr>
      </w:pPr>
      <w:r w:rsidRPr="00847319">
        <w:rPr>
          <w:rFonts w:asciiTheme="minorHAnsi" w:hAnsiTheme="minorHAnsi"/>
          <w:color w:val="000000" w:themeColor="text1"/>
          <w:szCs w:val="20"/>
          <w:lang w:val="sr-Cyrl-RS"/>
        </w:rPr>
        <w:t>2</w:t>
      </w:r>
      <w:r>
        <w:rPr>
          <w:rFonts w:asciiTheme="minorHAnsi" w:hAnsiTheme="minorHAnsi"/>
          <w:color w:val="000000" w:themeColor="text1"/>
          <w:szCs w:val="20"/>
          <w:lang w:val="sr-Cyrl-RS"/>
        </w:rPr>
        <w:t>.1.  PREGLED STATUSA</w:t>
      </w:r>
      <w:r w:rsidRPr="00847319">
        <w:rPr>
          <w:rFonts w:asciiTheme="minorHAnsi" w:hAnsiTheme="minorHAnsi"/>
          <w:color w:val="000000" w:themeColor="text1"/>
          <w:szCs w:val="20"/>
        </w:rPr>
        <w:t xml:space="preserve"> GARANCIJA U </w:t>
      </w:r>
      <w:r w:rsidRPr="00847319">
        <w:rPr>
          <w:rFonts w:asciiTheme="minorHAnsi" w:hAnsiTheme="minorHAnsi"/>
          <w:color w:val="000000" w:themeColor="text1"/>
          <w:szCs w:val="20"/>
          <w:lang w:val="sr-Cyrl-RS"/>
        </w:rPr>
        <w:t xml:space="preserve">OKVIRU GARANTNIH LINIJA </w:t>
      </w:r>
      <w:bookmarkEnd w:id="5"/>
      <w:bookmarkEnd w:id="6"/>
    </w:p>
    <w:p w:rsidR="005934B2" w:rsidRPr="00847319" w:rsidRDefault="005934B2" w:rsidP="00A401F8">
      <w:pPr>
        <w:ind w:firstLine="567"/>
        <w:rPr>
          <w:rFonts w:asciiTheme="minorHAnsi" w:hAnsiTheme="minorHAnsi"/>
          <w:noProof/>
          <w:color w:val="000000" w:themeColor="text1"/>
          <w:sz w:val="20"/>
          <w:szCs w:val="20"/>
          <w:lang w:val="sr-Cyrl-RS"/>
        </w:rPr>
      </w:pPr>
    </w:p>
    <w:p w:rsidR="005934B2" w:rsidRDefault="005934B2" w:rsidP="00A401F8">
      <w:pPr>
        <w:autoSpaceDE w:val="0"/>
        <w:autoSpaceDN w:val="0"/>
        <w:adjustRightInd w:val="0"/>
        <w:rPr>
          <w:rFonts w:asciiTheme="minorHAnsi" w:hAnsiTheme="minorHAnsi"/>
          <w:color w:val="000000" w:themeColor="text1"/>
          <w:sz w:val="20"/>
          <w:szCs w:val="20"/>
          <w:lang w:val="sr-Cyrl-RS"/>
        </w:rPr>
      </w:pPr>
      <w:r>
        <w:rPr>
          <w:rFonts w:asciiTheme="minorHAnsi" w:eastAsiaTheme="minorHAnsi" w:hAnsiTheme="minorHAnsi"/>
          <w:color w:val="000000" w:themeColor="text1"/>
          <w:sz w:val="20"/>
          <w:szCs w:val="20"/>
          <w:lang w:val="sr-Cyrl-BA" w:eastAsia="en-US"/>
        </w:rPr>
        <w:t xml:space="preserve">Početkom 2024. godine, finansijski posrednici sa kojima Garantni fond sarađuje su izvršili preorijentaciju na odobravanje garancija u okviru kreditnog portfelja, te je tokom godine zaprimljen samo jedan zahtjev za garanciju u okviru redovnih garantnih linija. Radi se o klijentu </w:t>
      </w:r>
      <w:r w:rsidRPr="00847319">
        <w:rPr>
          <w:rFonts w:asciiTheme="minorHAnsi" w:hAnsiTheme="minorHAnsi"/>
          <w:color w:val="000000" w:themeColor="text1"/>
          <w:sz w:val="20"/>
          <w:szCs w:val="20"/>
          <w:lang w:eastAsia="sr-Latn-RS"/>
        </w:rPr>
        <w:t xml:space="preserve">DABAR HOLZ </w:t>
      </w:r>
      <w:r>
        <w:rPr>
          <w:rFonts w:asciiTheme="minorHAnsi" w:hAnsiTheme="minorHAnsi"/>
          <w:color w:val="000000" w:themeColor="text1"/>
          <w:sz w:val="20"/>
          <w:szCs w:val="20"/>
          <w:lang w:val="sr-Cyrl-RS" w:eastAsia="sr-Latn-RS"/>
        </w:rPr>
        <w:t xml:space="preserve">d.o.o. Kozarska Dubica. </w:t>
      </w:r>
      <w:r>
        <w:rPr>
          <w:rFonts w:asciiTheme="minorHAnsi" w:eastAsiaTheme="minorHAnsi" w:hAnsiTheme="minorHAnsi"/>
          <w:color w:val="000000" w:themeColor="text1"/>
          <w:sz w:val="20"/>
          <w:szCs w:val="20"/>
          <w:lang w:val="sr-Cyrl-RS" w:eastAsia="en-US"/>
        </w:rPr>
        <w:t>Klijent je podnio zahtjev za garanciju u iznosu od</w:t>
      </w:r>
      <w:r w:rsidRPr="00D452DA">
        <w:rPr>
          <w:rFonts w:asciiTheme="minorHAnsi" w:hAnsiTheme="minorHAnsi"/>
          <w:color w:val="000000" w:themeColor="text1"/>
          <w:sz w:val="20"/>
          <w:szCs w:val="20"/>
          <w:lang w:val="sr-Cyrl-RS"/>
        </w:rPr>
        <w:t xml:space="preserve"> 150.000,00 KM, čime je podržan kreditni plasman </w:t>
      </w:r>
      <w:r>
        <w:rPr>
          <w:rFonts w:asciiTheme="minorHAnsi" w:hAnsiTheme="minorHAnsi"/>
          <w:color w:val="000000" w:themeColor="text1"/>
          <w:sz w:val="20"/>
          <w:szCs w:val="20"/>
          <w:lang w:val="sr-Cyrl-RS"/>
        </w:rPr>
        <w:t xml:space="preserve">Unikredit banke </w:t>
      </w:r>
      <w:r w:rsidRPr="00D452DA">
        <w:rPr>
          <w:rFonts w:asciiTheme="minorHAnsi" w:hAnsiTheme="minorHAnsi"/>
          <w:color w:val="000000" w:themeColor="text1"/>
          <w:sz w:val="20"/>
          <w:szCs w:val="20"/>
          <w:lang w:val="sr-Cyrl-RS"/>
        </w:rPr>
        <w:t>u iznosu od 300.000,00 KM.</w:t>
      </w:r>
      <w:r>
        <w:rPr>
          <w:rFonts w:asciiTheme="minorHAnsi" w:hAnsiTheme="minorHAnsi"/>
          <w:color w:val="000000" w:themeColor="text1"/>
          <w:sz w:val="20"/>
          <w:szCs w:val="20"/>
          <w:lang w:val="sr-Cyrl-RS"/>
        </w:rPr>
        <w:t xml:space="preserve"> </w:t>
      </w:r>
    </w:p>
    <w:p w:rsidR="005934B2" w:rsidRDefault="005934B2" w:rsidP="00A401F8">
      <w:pPr>
        <w:autoSpaceDE w:val="0"/>
        <w:autoSpaceDN w:val="0"/>
        <w:adjustRightInd w:val="0"/>
        <w:rPr>
          <w:rFonts w:asciiTheme="minorHAnsi" w:hAnsiTheme="minorHAnsi"/>
          <w:color w:val="000000" w:themeColor="text1"/>
          <w:sz w:val="20"/>
          <w:szCs w:val="20"/>
          <w:lang w:val="sr-Cyrl-RS"/>
        </w:rPr>
      </w:pPr>
    </w:p>
    <w:p w:rsidR="005934B2" w:rsidRPr="00D452DA" w:rsidRDefault="005934B2" w:rsidP="00A401F8">
      <w:pPr>
        <w:autoSpaceDE w:val="0"/>
        <w:autoSpaceDN w:val="0"/>
        <w:adjustRightInd w:val="0"/>
        <w:rPr>
          <w:rFonts w:asciiTheme="minorHAnsi" w:hAnsiTheme="minorHAnsi"/>
          <w:color w:val="000000" w:themeColor="text1"/>
          <w:sz w:val="20"/>
          <w:szCs w:val="20"/>
          <w:lang w:val="sr-Cyrl-RS"/>
        </w:rPr>
      </w:pPr>
      <w:r>
        <w:rPr>
          <w:rFonts w:asciiTheme="minorHAnsi" w:hAnsiTheme="minorHAnsi"/>
          <w:color w:val="000000" w:themeColor="text1"/>
          <w:sz w:val="20"/>
          <w:szCs w:val="20"/>
          <w:lang w:val="sr-Cyrl-RS"/>
        </w:rPr>
        <w:t xml:space="preserve">Princip izdavanja garancija na pojedinačnoj osnovi se i na evropskom tržištu garancija smatra zastarjelim i neefikasnim, a primat preuzima odobravanje garancija po projektnom principu, odnosno po principu kreditnog portfelja. Izdavanje garancija na pojedinačnoj osnovi se u narednom periodu očekuje samo za one klijente koji ne ispunjavaju uslove za uključenje u portfelj ili gdje traženi iznos kredita premašuje maksimalno dozvoljeni iznos definisan ugovorima o garantovanju kreditnog portfelja sa finansijskim posrednicima. </w:t>
      </w:r>
    </w:p>
    <w:p w:rsidR="005934B2" w:rsidRDefault="005934B2" w:rsidP="00A401F8">
      <w:pPr>
        <w:tabs>
          <w:tab w:val="left" w:pos="7381"/>
        </w:tabs>
        <w:autoSpaceDE w:val="0"/>
        <w:autoSpaceDN w:val="0"/>
        <w:adjustRightInd w:val="0"/>
        <w:rPr>
          <w:rFonts w:asciiTheme="minorHAnsi" w:hAnsiTheme="minorHAnsi"/>
          <w:color w:val="FF0000"/>
          <w:sz w:val="20"/>
          <w:szCs w:val="20"/>
          <w:lang w:val="sr-Cyrl-RS"/>
        </w:rPr>
      </w:pPr>
    </w:p>
    <w:p w:rsidR="005934B2" w:rsidRPr="00D452DA" w:rsidRDefault="005934B2" w:rsidP="00A401F8">
      <w:pPr>
        <w:tabs>
          <w:tab w:val="left" w:pos="7381"/>
        </w:tabs>
        <w:autoSpaceDE w:val="0"/>
        <w:autoSpaceDN w:val="0"/>
        <w:adjustRightInd w:val="0"/>
        <w:rPr>
          <w:rFonts w:asciiTheme="minorHAnsi" w:hAnsiTheme="minorHAnsi"/>
          <w:color w:val="000000" w:themeColor="text1"/>
          <w:sz w:val="20"/>
          <w:szCs w:val="20"/>
          <w:lang w:val="sr-Cyrl-RS"/>
        </w:rPr>
      </w:pPr>
      <w:r w:rsidRPr="00890FF8">
        <w:rPr>
          <w:rFonts w:asciiTheme="minorHAnsi" w:hAnsiTheme="minorHAnsi"/>
          <w:color w:val="auto"/>
          <w:sz w:val="20"/>
          <w:szCs w:val="20"/>
          <w:lang w:val="sr-Cyrl-RS"/>
        </w:rPr>
        <w:t>Fond je tokom godine izvršio i produženje 3 garancije, odnosno kontragarancije</w:t>
      </w:r>
      <w:r>
        <w:rPr>
          <w:rFonts w:asciiTheme="minorHAnsi" w:hAnsiTheme="minorHAnsi"/>
          <w:color w:val="auto"/>
          <w:sz w:val="20"/>
          <w:szCs w:val="20"/>
          <w:lang w:val="sr-Cyrl-RS"/>
        </w:rPr>
        <w:t xml:space="preserve"> u oviru redovnih linija</w:t>
      </w:r>
      <w:r>
        <w:rPr>
          <w:rFonts w:asciiTheme="minorHAnsi" w:hAnsiTheme="minorHAnsi"/>
          <w:color w:val="000000" w:themeColor="text1"/>
          <w:sz w:val="20"/>
          <w:szCs w:val="20"/>
          <w:lang w:val="sr-Cyrl-RS"/>
        </w:rPr>
        <w:t xml:space="preserve"> </w:t>
      </w:r>
      <w:r w:rsidRPr="00D452DA">
        <w:rPr>
          <w:rFonts w:asciiTheme="minorHAnsi" w:hAnsiTheme="minorHAnsi"/>
          <w:color w:val="000000" w:themeColor="text1"/>
          <w:sz w:val="20"/>
          <w:szCs w:val="20"/>
          <w:lang w:val="sr-Cyrl-RS"/>
        </w:rPr>
        <w:t xml:space="preserve">kojima je tokom 2024. godine isticao period važenja. </w:t>
      </w:r>
      <w:r>
        <w:rPr>
          <w:rFonts w:asciiTheme="minorHAnsi" w:hAnsiTheme="minorHAnsi"/>
          <w:color w:val="000000" w:themeColor="text1"/>
          <w:sz w:val="20"/>
          <w:szCs w:val="20"/>
          <w:lang w:val="sr-Cyrl-RS"/>
        </w:rPr>
        <w:t xml:space="preserve">Produženje </w:t>
      </w:r>
      <w:r w:rsidRPr="00D452DA">
        <w:rPr>
          <w:rFonts w:asciiTheme="minorHAnsi" w:hAnsiTheme="minorHAnsi"/>
          <w:color w:val="000000" w:themeColor="text1"/>
          <w:sz w:val="20"/>
          <w:szCs w:val="20"/>
          <w:lang w:val="sr-Cyrl-RS"/>
        </w:rPr>
        <w:t>je izvršeno po zahtjevu klijenata uz standardnu proceduru analize i donošenja odluke o izmjeni, odnosno produženju roka važenja. Produžene su 2 kontragarancije izdane</w:t>
      </w:r>
      <w:r>
        <w:rPr>
          <w:rFonts w:asciiTheme="minorHAnsi" w:hAnsiTheme="minorHAnsi"/>
          <w:color w:val="000000" w:themeColor="text1"/>
          <w:sz w:val="20"/>
          <w:szCs w:val="20"/>
          <w:lang w:val="sr-Cyrl-RS"/>
        </w:rPr>
        <w:t xml:space="preserve"> 2022. godine</w:t>
      </w:r>
      <w:r w:rsidRPr="00D452DA">
        <w:rPr>
          <w:rFonts w:asciiTheme="minorHAnsi" w:hAnsiTheme="minorHAnsi"/>
          <w:color w:val="000000" w:themeColor="text1"/>
          <w:sz w:val="20"/>
          <w:szCs w:val="20"/>
          <w:lang w:val="sr-Cyrl-RS"/>
        </w:rPr>
        <w:t xml:space="preserve"> u korist Prokredit banke po nalogu klijenta OMC d.o.o, te jedna garancija izdana </w:t>
      </w:r>
      <w:r>
        <w:rPr>
          <w:rFonts w:asciiTheme="minorHAnsi" w:hAnsiTheme="minorHAnsi"/>
          <w:color w:val="000000" w:themeColor="text1"/>
          <w:sz w:val="20"/>
          <w:szCs w:val="20"/>
          <w:lang w:val="sr-Cyrl-RS"/>
        </w:rPr>
        <w:t xml:space="preserve">2020. godine </w:t>
      </w:r>
      <w:r w:rsidRPr="00D452DA">
        <w:rPr>
          <w:rFonts w:asciiTheme="minorHAnsi" w:hAnsiTheme="minorHAnsi"/>
          <w:color w:val="000000" w:themeColor="text1"/>
          <w:sz w:val="20"/>
          <w:szCs w:val="20"/>
          <w:lang w:val="sr-Cyrl-RS"/>
        </w:rPr>
        <w:t xml:space="preserve">u korist Fonda za razvoj i zapošljavanje a.d. Banja Luka po nalogu klijenta Sava Semberija a.d. Bijeljina. Navedenim </w:t>
      </w:r>
      <w:r>
        <w:rPr>
          <w:rFonts w:asciiTheme="minorHAnsi" w:hAnsiTheme="minorHAnsi"/>
          <w:color w:val="000000" w:themeColor="text1"/>
          <w:sz w:val="20"/>
          <w:szCs w:val="20"/>
          <w:lang w:val="sr-Cyrl-RS"/>
        </w:rPr>
        <w:t>kontra/</w:t>
      </w:r>
      <w:r w:rsidRPr="00D452DA">
        <w:rPr>
          <w:rFonts w:asciiTheme="minorHAnsi" w:hAnsiTheme="minorHAnsi"/>
          <w:color w:val="000000" w:themeColor="text1"/>
          <w:sz w:val="20"/>
          <w:szCs w:val="20"/>
          <w:lang w:val="sr-Cyrl-RS"/>
        </w:rPr>
        <w:t xml:space="preserve">garancijama </w:t>
      </w:r>
      <w:r>
        <w:rPr>
          <w:rFonts w:asciiTheme="minorHAnsi" w:hAnsiTheme="minorHAnsi"/>
          <w:color w:val="000000" w:themeColor="text1"/>
          <w:sz w:val="20"/>
          <w:szCs w:val="20"/>
          <w:lang w:val="sr-Cyrl-RS"/>
        </w:rPr>
        <w:t xml:space="preserve">u iznosu od </w:t>
      </w:r>
      <w:r w:rsidRPr="00D452DA">
        <w:rPr>
          <w:rFonts w:asciiTheme="minorHAnsi" w:hAnsiTheme="minorHAnsi"/>
          <w:color w:val="000000" w:themeColor="text1"/>
          <w:sz w:val="20"/>
          <w:szCs w:val="20"/>
          <w:lang w:val="sr-Cyrl-RS"/>
        </w:rPr>
        <w:t xml:space="preserve">894.288,72 </w:t>
      </w:r>
      <w:r>
        <w:rPr>
          <w:rFonts w:asciiTheme="minorHAnsi" w:hAnsiTheme="minorHAnsi"/>
          <w:color w:val="000000" w:themeColor="text1"/>
          <w:sz w:val="20"/>
          <w:szCs w:val="20"/>
          <w:lang w:val="sr-Cyrl-RS"/>
        </w:rPr>
        <w:t>KM</w:t>
      </w:r>
      <w:r w:rsidRPr="00D452DA">
        <w:rPr>
          <w:rFonts w:asciiTheme="minorHAnsi" w:hAnsiTheme="minorHAnsi"/>
          <w:color w:val="000000" w:themeColor="text1"/>
          <w:sz w:val="20"/>
          <w:szCs w:val="20"/>
          <w:lang w:val="sr-Cyrl-RS"/>
        </w:rPr>
        <w:t xml:space="preserve"> Garantni fond </w:t>
      </w:r>
      <w:r>
        <w:rPr>
          <w:rFonts w:asciiTheme="minorHAnsi" w:hAnsiTheme="minorHAnsi"/>
          <w:color w:val="000000" w:themeColor="text1"/>
          <w:sz w:val="20"/>
          <w:szCs w:val="20"/>
          <w:lang w:val="sr-Cyrl-RS"/>
        </w:rPr>
        <w:t xml:space="preserve">je </w:t>
      </w:r>
      <w:r w:rsidRPr="00D452DA">
        <w:rPr>
          <w:rFonts w:asciiTheme="minorHAnsi" w:hAnsiTheme="minorHAnsi"/>
          <w:color w:val="000000" w:themeColor="text1"/>
          <w:sz w:val="20"/>
          <w:szCs w:val="20"/>
          <w:lang w:val="sr-Cyrl-RS"/>
        </w:rPr>
        <w:t>podržao plasman kreditnih sredstava u iznosu od 1.788.577,43 KM.</w:t>
      </w:r>
    </w:p>
    <w:p w:rsidR="005934B2" w:rsidRDefault="005934B2" w:rsidP="00A401F8">
      <w:pPr>
        <w:tabs>
          <w:tab w:val="left" w:pos="7381"/>
        </w:tabs>
        <w:autoSpaceDE w:val="0"/>
        <w:autoSpaceDN w:val="0"/>
        <w:adjustRightInd w:val="0"/>
        <w:rPr>
          <w:rFonts w:asciiTheme="minorHAnsi" w:hAnsiTheme="minorHAnsi"/>
          <w:color w:val="FF0000"/>
          <w:sz w:val="20"/>
          <w:szCs w:val="20"/>
          <w:lang w:val="sr-Cyrl-RS"/>
        </w:rPr>
      </w:pPr>
    </w:p>
    <w:p w:rsidR="005934B2" w:rsidRDefault="005934B2" w:rsidP="00A401F8">
      <w:pPr>
        <w:tabs>
          <w:tab w:val="left" w:pos="7381"/>
        </w:tabs>
        <w:autoSpaceDE w:val="0"/>
        <w:autoSpaceDN w:val="0"/>
        <w:adjustRightInd w:val="0"/>
        <w:rPr>
          <w:rFonts w:asciiTheme="minorHAnsi" w:hAnsiTheme="minorHAnsi"/>
          <w:color w:val="auto"/>
          <w:sz w:val="20"/>
          <w:szCs w:val="20"/>
          <w:lang w:val="sr-Cyrl-RS"/>
        </w:rPr>
      </w:pPr>
      <w:r>
        <w:rPr>
          <w:rFonts w:asciiTheme="minorHAnsi" w:hAnsiTheme="minorHAnsi"/>
          <w:color w:val="auto"/>
          <w:sz w:val="20"/>
          <w:szCs w:val="20"/>
          <w:lang w:val="sr-Cyrl-RS"/>
        </w:rPr>
        <w:t>Iako je smanjen obim</w:t>
      </w:r>
      <w:r w:rsidRPr="004101DD">
        <w:rPr>
          <w:rFonts w:asciiTheme="minorHAnsi" w:hAnsiTheme="minorHAnsi"/>
          <w:color w:val="auto"/>
          <w:sz w:val="20"/>
          <w:szCs w:val="20"/>
          <w:lang w:val="sr-Cyrl-RS"/>
        </w:rPr>
        <w:t xml:space="preserve"> aktivnosti u pogledu izdavanja novih garancija u okviru redovnih garantnih linija, još uvijek postoji veliki broj aktivnih garancija iz ove grupe, te Garant</w:t>
      </w:r>
      <w:r>
        <w:rPr>
          <w:rFonts w:asciiTheme="minorHAnsi" w:hAnsiTheme="minorHAnsi"/>
          <w:color w:val="auto"/>
          <w:sz w:val="20"/>
          <w:szCs w:val="20"/>
          <w:lang w:val="sr-Cyrl-RS"/>
        </w:rPr>
        <w:t>n</w:t>
      </w:r>
      <w:r w:rsidRPr="004101DD">
        <w:rPr>
          <w:rFonts w:asciiTheme="minorHAnsi" w:hAnsiTheme="minorHAnsi"/>
          <w:color w:val="auto"/>
          <w:sz w:val="20"/>
          <w:szCs w:val="20"/>
          <w:lang w:val="sr-Cyrl-RS"/>
        </w:rPr>
        <w:t>i fond nastavlja sa redovnim monitoring</w:t>
      </w:r>
      <w:r>
        <w:rPr>
          <w:rFonts w:asciiTheme="minorHAnsi" w:hAnsiTheme="minorHAnsi"/>
          <w:color w:val="auto"/>
          <w:sz w:val="20"/>
          <w:szCs w:val="20"/>
          <w:lang w:val="sr-Cyrl-RS"/>
        </w:rPr>
        <w:t>om</w:t>
      </w:r>
      <w:r w:rsidRPr="004101DD">
        <w:rPr>
          <w:rFonts w:asciiTheme="minorHAnsi" w:hAnsiTheme="minorHAnsi"/>
          <w:color w:val="auto"/>
          <w:sz w:val="20"/>
          <w:szCs w:val="20"/>
          <w:lang w:val="sr-Cyrl-RS"/>
        </w:rPr>
        <w:t xml:space="preserve"> klijenata</w:t>
      </w:r>
      <w:r>
        <w:rPr>
          <w:rFonts w:asciiTheme="minorHAnsi" w:hAnsiTheme="minorHAnsi"/>
          <w:color w:val="auto"/>
          <w:sz w:val="20"/>
          <w:szCs w:val="20"/>
          <w:lang w:val="sr-Cyrl-RS"/>
        </w:rPr>
        <w:t xml:space="preserve"> i </w:t>
      </w:r>
      <w:r w:rsidRPr="004101DD">
        <w:rPr>
          <w:rFonts w:asciiTheme="minorHAnsi" w:hAnsiTheme="minorHAnsi"/>
          <w:color w:val="auto"/>
          <w:sz w:val="20"/>
          <w:szCs w:val="20"/>
          <w:lang w:val="sr-Cyrl-RS"/>
        </w:rPr>
        <w:t>svi</w:t>
      </w:r>
      <w:r>
        <w:rPr>
          <w:rFonts w:asciiTheme="minorHAnsi" w:hAnsiTheme="minorHAnsi"/>
          <w:color w:val="auto"/>
          <w:sz w:val="20"/>
          <w:szCs w:val="20"/>
          <w:lang w:val="sr-Cyrl-RS"/>
        </w:rPr>
        <w:t>m</w:t>
      </w:r>
      <w:r w:rsidRPr="004101DD">
        <w:rPr>
          <w:rFonts w:asciiTheme="minorHAnsi" w:hAnsiTheme="minorHAnsi"/>
          <w:color w:val="auto"/>
          <w:sz w:val="20"/>
          <w:szCs w:val="20"/>
          <w:lang w:val="sr-Cyrl-RS"/>
        </w:rPr>
        <w:t xml:space="preserve"> ostal</w:t>
      </w:r>
      <w:r>
        <w:rPr>
          <w:rFonts w:asciiTheme="minorHAnsi" w:hAnsiTheme="minorHAnsi"/>
          <w:color w:val="auto"/>
          <w:sz w:val="20"/>
          <w:szCs w:val="20"/>
          <w:lang w:val="sr-Cyrl-RS"/>
        </w:rPr>
        <w:t>im</w:t>
      </w:r>
      <w:r w:rsidRPr="004101DD">
        <w:rPr>
          <w:rFonts w:asciiTheme="minorHAnsi" w:hAnsiTheme="minorHAnsi"/>
          <w:color w:val="auto"/>
          <w:sz w:val="20"/>
          <w:szCs w:val="20"/>
          <w:lang w:val="sr-Cyrl-RS"/>
        </w:rPr>
        <w:t xml:space="preserve"> aktivnosti</w:t>
      </w:r>
      <w:r>
        <w:rPr>
          <w:rFonts w:asciiTheme="minorHAnsi" w:hAnsiTheme="minorHAnsi"/>
          <w:color w:val="auto"/>
          <w:sz w:val="20"/>
          <w:szCs w:val="20"/>
          <w:lang w:val="sr-Cyrl-RS"/>
        </w:rPr>
        <w:t>ma</w:t>
      </w:r>
      <w:r w:rsidRPr="004101DD">
        <w:rPr>
          <w:rFonts w:asciiTheme="minorHAnsi" w:hAnsiTheme="minorHAnsi"/>
          <w:color w:val="auto"/>
          <w:sz w:val="20"/>
          <w:szCs w:val="20"/>
          <w:lang w:val="sr-Cyrl-RS"/>
        </w:rPr>
        <w:t xml:space="preserve"> koje se </w:t>
      </w:r>
      <w:r>
        <w:rPr>
          <w:rFonts w:asciiTheme="minorHAnsi" w:hAnsiTheme="minorHAnsi"/>
          <w:color w:val="auto"/>
          <w:sz w:val="20"/>
          <w:szCs w:val="20"/>
          <w:lang w:val="sr-Cyrl-RS"/>
        </w:rPr>
        <w:t>obavljaju tokom</w:t>
      </w:r>
      <w:r w:rsidRPr="004101DD">
        <w:rPr>
          <w:rFonts w:asciiTheme="minorHAnsi" w:hAnsiTheme="minorHAnsi"/>
          <w:color w:val="auto"/>
          <w:sz w:val="20"/>
          <w:szCs w:val="20"/>
          <w:lang w:val="sr-Cyrl-RS"/>
        </w:rPr>
        <w:t xml:space="preserve"> životnog vijeka garancije</w:t>
      </w:r>
      <w:r>
        <w:rPr>
          <w:rFonts w:asciiTheme="minorHAnsi" w:hAnsiTheme="minorHAnsi"/>
          <w:color w:val="auto"/>
          <w:sz w:val="20"/>
          <w:szCs w:val="20"/>
          <w:lang w:val="sr-Cyrl-RS"/>
        </w:rPr>
        <w:t>,</w:t>
      </w:r>
      <w:r w:rsidRPr="004101DD">
        <w:rPr>
          <w:rFonts w:asciiTheme="minorHAnsi" w:hAnsiTheme="minorHAnsi"/>
          <w:color w:val="auto"/>
          <w:sz w:val="20"/>
          <w:szCs w:val="20"/>
          <w:lang w:val="sr-Cyrl-RS"/>
        </w:rPr>
        <w:t xml:space="preserve"> od momenta izdavanja do isteka roka važenja.</w:t>
      </w:r>
    </w:p>
    <w:p w:rsidR="005934B2" w:rsidRDefault="005934B2" w:rsidP="00A401F8">
      <w:pPr>
        <w:tabs>
          <w:tab w:val="left" w:pos="7381"/>
        </w:tabs>
        <w:autoSpaceDE w:val="0"/>
        <w:autoSpaceDN w:val="0"/>
        <w:adjustRightInd w:val="0"/>
        <w:rPr>
          <w:rFonts w:asciiTheme="minorHAnsi" w:hAnsiTheme="minorHAnsi"/>
          <w:color w:val="auto"/>
          <w:sz w:val="20"/>
          <w:szCs w:val="20"/>
          <w:lang w:val="sr-Cyrl-RS"/>
        </w:rPr>
      </w:pPr>
    </w:p>
    <w:p w:rsidR="005934B2" w:rsidRDefault="005934B2" w:rsidP="00A401F8">
      <w:pPr>
        <w:tabs>
          <w:tab w:val="left" w:pos="7381"/>
        </w:tabs>
        <w:autoSpaceDE w:val="0"/>
        <w:autoSpaceDN w:val="0"/>
        <w:adjustRightInd w:val="0"/>
        <w:rPr>
          <w:rFonts w:asciiTheme="minorHAnsi" w:hAnsiTheme="minorHAnsi"/>
          <w:color w:val="auto"/>
          <w:sz w:val="20"/>
          <w:szCs w:val="20"/>
          <w:lang w:val="sr-Cyrl-RS"/>
        </w:rPr>
      </w:pPr>
      <w:r>
        <w:rPr>
          <w:rFonts w:asciiTheme="minorHAnsi" w:hAnsiTheme="minorHAnsi"/>
          <w:color w:val="auto"/>
          <w:sz w:val="20"/>
          <w:szCs w:val="20"/>
          <w:lang w:val="sr-Cyrl-RS"/>
        </w:rPr>
        <w:t>Tabele 1 i 2 daju prikaz garancija koje su tokom 2024. godine stavljene van snage, te garancija koje su tokom godine plaćene u skladu sa zahtjevom za plaćanje od strane korisnika garancije.</w:t>
      </w:r>
    </w:p>
    <w:p w:rsidR="005934B2" w:rsidRPr="004101DD" w:rsidRDefault="005934B2" w:rsidP="00A401F8">
      <w:pPr>
        <w:tabs>
          <w:tab w:val="left" w:pos="7381"/>
        </w:tabs>
        <w:autoSpaceDE w:val="0"/>
        <w:autoSpaceDN w:val="0"/>
        <w:adjustRightInd w:val="0"/>
        <w:rPr>
          <w:rFonts w:asciiTheme="minorHAnsi" w:hAnsiTheme="minorHAnsi"/>
          <w:color w:val="auto"/>
          <w:sz w:val="20"/>
          <w:szCs w:val="20"/>
          <w:lang w:val="sr-Cyrl-RS"/>
        </w:rPr>
      </w:pPr>
      <w:r w:rsidRPr="004101DD">
        <w:rPr>
          <w:rFonts w:asciiTheme="minorHAnsi" w:hAnsiTheme="minorHAnsi"/>
          <w:color w:val="auto"/>
          <w:sz w:val="20"/>
          <w:szCs w:val="20"/>
          <w:lang w:val="sr-Cyrl-RS"/>
        </w:rPr>
        <w:t xml:space="preserve">  </w:t>
      </w: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p>
    <w:p w:rsidR="005934B2" w:rsidRPr="00D452DA" w:rsidRDefault="005934B2" w:rsidP="00A401F8">
      <w:pPr>
        <w:autoSpaceDE w:val="0"/>
        <w:autoSpaceDN w:val="0"/>
        <w:adjustRightInd w:val="0"/>
        <w:jc w:val="center"/>
        <w:rPr>
          <w:rFonts w:asciiTheme="minorHAnsi" w:eastAsiaTheme="minorHAnsi" w:hAnsiTheme="minorHAnsi"/>
          <w:b/>
          <w:bCs/>
          <w:color w:val="000000" w:themeColor="text1"/>
          <w:sz w:val="20"/>
          <w:szCs w:val="20"/>
          <w:lang w:val="sr-Latn-RS" w:eastAsia="en-US"/>
        </w:rPr>
      </w:pPr>
      <w:r w:rsidRPr="00D452DA">
        <w:rPr>
          <w:rFonts w:asciiTheme="minorHAnsi" w:eastAsiaTheme="minorHAnsi" w:hAnsiTheme="minorHAnsi"/>
          <w:b/>
          <w:bCs/>
          <w:color w:val="000000" w:themeColor="text1"/>
          <w:sz w:val="20"/>
          <w:szCs w:val="20"/>
          <w:lang w:val="sr-Latn-RS" w:eastAsia="en-US"/>
        </w:rPr>
        <w:lastRenderedPageBreak/>
        <w:t xml:space="preserve">Pregled </w:t>
      </w:r>
      <w:r w:rsidRPr="00D452DA">
        <w:rPr>
          <w:rFonts w:asciiTheme="minorHAnsi" w:eastAsiaTheme="minorHAnsi" w:hAnsiTheme="minorHAnsi"/>
          <w:b/>
          <w:bCs/>
          <w:color w:val="000000" w:themeColor="text1"/>
          <w:sz w:val="20"/>
          <w:szCs w:val="20"/>
          <w:lang w:val="sr-Cyrl-BA" w:eastAsia="en-US"/>
        </w:rPr>
        <w:t xml:space="preserve"> </w:t>
      </w:r>
      <w:r w:rsidRPr="00D452DA">
        <w:rPr>
          <w:rFonts w:asciiTheme="minorHAnsi" w:eastAsiaTheme="minorHAnsi" w:hAnsiTheme="minorHAnsi"/>
          <w:b/>
          <w:bCs/>
          <w:color w:val="000000" w:themeColor="text1"/>
          <w:sz w:val="20"/>
          <w:szCs w:val="20"/>
          <w:lang w:val="sr-Latn-RS" w:eastAsia="en-US"/>
        </w:rPr>
        <w:t xml:space="preserve">garancija </w:t>
      </w:r>
      <w:r w:rsidRPr="00D452DA">
        <w:rPr>
          <w:rFonts w:asciiTheme="minorHAnsi" w:eastAsiaTheme="minorHAnsi" w:hAnsiTheme="minorHAnsi"/>
          <w:b/>
          <w:bCs/>
          <w:color w:val="000000" w:themeColor="text1"/>
          <w:sz w:val="20"/>
          <w:szCs w:val="20"/>
          <w:lang w:val="sr-Cyrl-BA" w:eastAsia="en-US"/>
        </w:rPr>
        <w:t>van snage u</w:t>
      </w:r>
      <w:r w:rsidRPr="00D452DA">
        <w:rPr>
          <w:rFonts w:asciiTheme="minorHAnsi" w:eastAsiaTheme="minorHAnsi" w:hAnsiTheme="minorHAnsi"/>
          <w:b/>
          <w:bCs/>
          <w:color w:val="000000" w:themeColor="text1"/>
          <w:sz w:val="20"/>
          <w:szCs w:val="20"/>
          <w:lang w:val="sr-Latn-RS" w:eastAsia="en-US"/>
        </w:rPr>
        <w:t xml:space="preserve"> period</w:t>
      </w:r>
      <w:r w:rsidRPr="00D452DA">
        <w:rPr>
          <w:rFonts w:asciiTheme="minorHAnsi" w:eastAsiaTheme="minorHAnsi" w:hAnsiTheme="minorHAnsi"/>
          <w:b/>
          <w:bCs/>
          <w:color w:val="000000" w:themeColor="text1"/>
          <w:sz w:val="20"/>
          <w:szCs w:val="20"/>
          <w:lang w:val="sr-Cyrl-RS" w:eastAsia="en-US"/>
        </w:rPr>
        <w:t>u</w:t>
      </w:r>
      <w:r w:rsidRPr="00D452DA">
        <w:rPr>
          <w:rFonts w:asciiTheme="minorHAnsi" w:eastAsiaTheme="minorHAnsi" w:hAnsiTheme="minorHAnsi"/>
          <w:b/>
          <w:bCs/>
          <w:color w:val="000000" w:themeColor="text1"/>
          <w:sz w:val="20"/>
          <w:szCs w:val="20"/>
          <w:lang w:val="sr-Latn-RS" w:eastAsia="en-US"/>
        </w:rPr>
        <w:t xml:space="preserve"> 01.01.202</w:t>
      </w:r>
      <w:r w:rsidRPr="00D452DA">
        <w:rPr>
          <w:rFonts w:asciiTheme="minorHAnsi" w:eastAsiaTheme="minorHAnsi" w:hAnsiTheme="minorHAnsi"/>
          <w:b/>
          <w:bCs/>
          <w:color w:val="000000" w:themeColor="text1"/>
          <w:sz w:val="20"/>
          <w:szCs w:val="20"/>
          <w:lang w:val="sr-Cyrl-RS" w:eastAsia="en-US"/>
        </w:rPr>
        <w:t>4</w:t>
      </w:r>
      <w:r w:rsidRPr="00D452DA">
        <w:rPr>
          <w:rFonts w:asciiTheme="minorHAnsi" w:eastAsiaTheme="minorHAnsi" w:hAnsiTheme="minorHAnsi"/>
          <w:b/>
          <w:bCs/>
          <w:color w:val="000000" w:themeColor="text1"/>
          <w:sz w:val="20"/>
          <w:szCs w:val="20"/>
          <w:lang w:val="sr-Latn-RS" w:eastAsia="en-US"/>
        </w:rPr>
        <w:t>. - 31.12.202</w:t>
      </w:r>
      <w:r w:rsidRPr="00D452DA">
        <w:rPr>
          <w:rFonts w:asciiTheme="minorHAnsi" w:eastAsiaTheme="minorHAnsi" w:hAnsiTheme="minorHAnsi"/>
          <w:b/>
          <w:bCs/>
          <w:color w:val="000000" w:themeColor="text1"/>
          <w:sz w:val="20"/>
          <w:szCs w:val="20"/>
          <w:lang w:val="sr-Cyrl-RS" w:eastAsia="en-US"/>
        </w:rPr>
        <w:t>4</w:t>
      </w:r>
      <w:r w:rsidRPr="00D452DA">
        <w:rPr>
          <w:rFonts w:asciiTheme="minorHAnsi" w:eastAsiaTheme="minorHAnsi" w:hAnsiTheme="minorHAnsi"/>
          <w:b/>
          <w:bCs/>
          <w:color w:val="000000" w:themeColor="text1"/>
          <w:sz w:val="20"/>
          <w:szCs w:val="20"/>
          <w:lang w:val="sr-Latn-RS" w:eastAsia="en-US"/>
        </w:rPr>
        <w:t>. godine</w:t>
      </w:r>
    </w:p>
    <w:p w:rsidR="005934B2" w:rsidRPr="003D7300" w:rsidRDefault="005934B2" w:rsidP="00A401F8">
      <w:pPr>
        <w:autoSpaceDE w:val="0"/>
        <w:autoSpaceDN w:val="0"/>
        <w:adjustRightInd w:val="0"/>
        <w:jc w:val="center"/>
        <w:rPr>
          <w:rFonts w:asciiTheme="minorHAnsi" w:eastAsiaTheme="minorHAnsi" w:hAnsiTheme="minorHAnsi"/>
          <w:b/>
          <w:bCs/>
          <w:color w:val="FF0000"/>
          <w:sz w:val="20"/>
          <w:szCs w:val="20"/>
          <w:lang w:val="sr-Latn-RS" w:eastAsia="en-US"/>
        </w:rPr>
      </w:pPr>
    </w:p>
    <w:p w:rsidR="005934B2" w:rsidRDefault="005934B2" w:rsidP="00A401F8">
      <w:pPr>
        <w:autoSpaceDE w:val="0"/>
        <w:autoSpaceDN w:val="0"/>
        <w:adjustRightInd w:val="0"/>
        <w:rPr>
          <w:rFonts w:asciiTheme="minorHAnsi" w:eastAsiaTheme="minorHAnsi" w:hAnsiTheme="minorHAnsi"/>
          <w:b/>
          <w:color w:val="000000" w:themeColor="text1"/>
          <w:sz w:val="20"/>
          <w:szCs w:val="20"/>
          <w:lang w:val="sr-Cyrl-BA" w:eastAsia="en-US"/>
        </w:rPr>
      </w:pP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3D7300">
        <w:rPr>
          <w:rFonts w:asciiTheme="minorHAnsi" w:eastAsiaTheme="minorHAnsi" w:hAnsiTheme="minorHAnsi"/>
          <w:color w:val="FF0000"/>
          <w:sz w:val="20"/>
          <w:szCs w:val="20"/>
          <w:lang w:val="sr-Latn-BA" w:eastAsia="en-US"/>
        </w:rPr>
        <w:tab/>
      </w:r>
      <w:r w:rsidRPr="00847319">
        <w:rPr>
          <w:rFonts w:asciiTheme="minorHAnsi" w:eastAsiaTheme="minorHAnsi" w:hAnsiTheme="minorHAnsi"/>
          <w:color w:val="000000" w:themeColor="text1"/>
          <w:sz w:val="20"/>
          <w:szCs w:val="20"/>
          <w:lang w:val="sr-Cyrl-BA" w:eastAsia="en-US"/>
        </w:rPr>
        <w:t xml:space="preserve">                    </w:t>
      </w:r>
      <w:r w:rsidRPr="00847319">
        <w:rPr>
          <w:rFonts w:asciiTheme="minorHAnsi" w:eastAsiaTheme="minorHAnsi" w:hAnsiTheme="minorHAnsi"/>
          <w:b/>
          <w:color w:val="000000" w:themeColor="text1"/>
          <w:sz w:val="20"/>
          <w:szCs w:val="20"/>
          <w:lang w:val="sr-Cyrl-BA" w:eastAsia="en-US"/>
        </w:rPr>
        <w:t xml:space="preserve">Tabela </w:t>
      </w:r>
      <w:r>
        <w:rPr>
          <w:rFonts w:asciiTheme="minorHAnsi" w:eastAsiaTheme="minorHAnsi" w:hAnsiTheme="minorHAnsi"/>
          <w:b/>
          <w:color w:val="000000" w:themeColor="text1"/>
          <w:sz w:val="20"/>
          <w:szCs w:val="20"/>
          <w:lang w:val="sr-Cyrl-BA" w:eastAsia="en-US"/>
        </w:rPr>
        <w:t>1</w:t>
      </w:r>
    </w:p>
    <w:p w:rsidR="005934B2" w:rsidRPr="003D7300" w:rsidRDefault="005934B2" w:rsidP="00A401F8">
      <w:pPr>
        <w:autoSpaceDE w:val="0"/>
        <w:autoSpaceDN w:val="0"/>
        <w:adjustRightInd w:val="0"/>
        <w:rPr>
          <w:rFonts w:asciiTheme="minorHAnsi" w:eastAsiaTheme="minorHAnsi" w:hAnsiTheme="minorHAnsi"/>
          <w:color w:val="FF0000"/>
          <w:sz w:val="20"/>
          <w:szCs w:val="20"/>
          <w:lang w:val="sr-Cyrl-BA" w:eastAsia="en-US"/>
        </w:rPr>
      </w:pPr>
    </w:p>
    <w:tbl>
      <w:tblPr>
        <w:tblW w:w="8804" w:type="dxa"/>
        <w:tblInd w:w="93" w:type="dxa"/>
        <w:tblLook w:val="04A0" w:firstRow="1" w:lastRow="0" w:firstColumn="1" w:lastColumn="0" w:noHBand="0" w:noVBand="1"/>
      </w:tblPr>
      <w:tblGrid>
        <w:gridCol w:w="1080"/>
        <w:gridCol w:w="4038"/>
        <w:gridCol w:w="1701"/>
        <w:gridCol w:w="1985"/>
      </w:tblGrid>
      <w:tr w:rsidR="005934B2" w:rsidRPr="00847319" w:rsidTr="000366C5">
        <w:trPr>
          <w:trHeight w:val="510"/>
        </w:trPr>
        <w:tc>
          <w:tcPr>
            <w:tcW w:w="108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847319" w:rsidRDefault="005934B2" w:rsidP="000366C5">
            <w:pPr>
              <w:jc w:val="center"/>
              <w:rPr>
                <w:rFonts w:asciiTheme="minorHAnsi" w:hAnsiTheme="minorHAnsi"/>
                <w:b/>
                <w:bCs/>
                <w:color w:val="auto"/>
                <w:sz w:val="18"/>
                <w:szCs w:val="18"/>
              </w:rPr>
            </w:pPr>
            <w:r w:rsidRPr="00847319">
              <w:rPr>
                <w:rFonts w:asciiTheme="minorHAnsi" w:hAnsiTheme="minorHAnsi"/>
                <w:b/>
                <w:bCs/>
                <w:color w:val="auto"/>
                <w:sz w:val="18"/>
                <w:szCs w:val="18"/>
              </w:rPr>
              <w:t>Redni broj</w:t>
            </w:r>
          </w:p>
        </w:tc>
        <w:tc>
          <w:tcPr>
            <w:tcW w:w="4038" w:type="dxa"/>
            <w:tcBorders>
              <w:top w:val="single" w:sz="4" w:space="0" w:color="auto"/>
              <w:left w:val="nil"/>
              <w:bottom w:val="single" w:sz="4" w:space="0" w:color="auto"/>
              <w:right w:val="single" w:sz="4" w:space="0" w:color="auto"/>
            </w:tcBorders>
            <w:shd w:val="clear" w:color="000000" w:fill="8DB4E2"/>
            <w:vAlign w:val="center"/>
            <w:hideMark/>
          </w:tcPr>
          <w:p w:rsidR="005934B2" w:rsidRPr="00847319" w:rsidRDefault="005934B2" w:rsidP="000366C5">
            <w:pPr>
              <w:jc w:val="center"/>
              <w:rPr>
                <w:rFonts w:asciiTheme="minorHAnsi" w:hAnsiTheme="minorHAnsi"/>
                <w:b/>
                <w:bCs/>
                <w:color w:val="auto"/>
                <w:sz w:val="18"/>
                <w:szCs w:val="18"/>
              </w:rPr>
            </w:pPr>
            <w:r w:rsidRPr="00847319">
              <w:rPr>
                <w:rFonts w:asciiTheme="minorHAnsi" w:hAnsiTheme="minorHAnsi"/>
                <w:b/>
                <w:bCs/>
                <w:color w:val="auto"/>
                <w:sz w:val="18"/>
                <w:szCs w:val="18"/>
              </w:rPr>
              <w:t>Nalogodavac garancije</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rsidR="005934B2" w:rsidRPr="00847319" w:rsidRDefault="005934B2" w:rsidP="000366C5">
            <w:pPr>
              <w:jc w:val="center"/>
              <w:rPr>
                <w:rFonts w:asciiTheme="minorHAnsi" w:hAnsiTheme="minorHAnsi"/>
                <w:b/>
                <w:bCs/>
                <w:color w:val="auto"/>
                <w:sz w:val="18"/>
                <w:szCs w:val="18"/>
              </w:rPr>
            </w:pPr>
            <w:r w:rsidRPr="00847319">
              <w:rPr>
                <w:rFonts w:asciiTheme="minorHAnsi" w:hAnsiTheme="minorHAnsi"/>
                <w:b/>
                <w:bCs/>
                <w:color w:val="auto"/>
                <w:sz w:val="18"/>
                <w:szCs w:val="18"/>
              </w:rPr>
              <w:t>Iznos kredita</w:t>
            </w:r>
          </w:p>
        </w:tc>
        <w:tc>
          <w:tcPr>
            <w:tcW w:w="1985" w:type="dxa"/>
            <w:tcBorders>
              <w:top w:val="single" w:sz="4" w:space="0" w:color="auto"/>
              <w:left w:val="nil"/>
              <w:bottom w:val="single" w:sz="4" w:space="0" w:color="auto"/>
              <w:right w:val="single" w:sz="4" w:space="0" w:color="auto"/>
            </w:tcBorders>
            <w:shd w:val="clear" w:color="000000" w:fill="8DB4E2"/>
            <w:vAlign w:val="center"/>
            <w:hideMark/>
          </w:tcPr>
          <w:p w:rsidR="005934B2" w:rsidRPr="00847319" w:rsidRDefault="005934B2" w:rsidP="000366C5">
            <w:pPr>
              <w:jc w:val="center"/>
              <w:rPr>
                <w:rFonts w:asciiTheme="minorHAnsi" w:hAnsiTheme="minorHAnsi"/>
                <w:b/>
                <w:bCs/>
                <w:color w:val="auto"/>
                <w:sz w:val="18"/>
                <w:szCs w:val="18"/>
              </w:rPr>
            </w:pPr>
            <w:r w:rsidRPr="00847319">
              <w:rPr>
                <w:rFonts w:asciiTheme="minorHAnsi" w:hAnsiTheme="minorHAnsi"/>
                <w:b/>
                <w:bCs/>
                <w:color w:val="auto"/>
                <w:sz w:val="18"/>
                <w:szCs w:val="18"/>
              </w:rPr>
              <w:t>Iznos garancije</w:t>
            </w:r>
          </w:p>
        </w:tc>
      </w:tr>
      <w:tr w:rsidR="005934B2" w:rsidRPr="00847319" w:rsidTr="000366C5">
        <w:trPr>
          <w:trHeight w:val="331"/>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Gavrić Mihajlo</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20.000,00</w:t>
            </w:r>
          </w:p>
        </w:tc>
      </w:tr>
      <w:tr w:rsidR="005934B2" w:rsidRPr="00847319" w:rsidTr="000366C5">
        <w:trPr>
          <w:trHeight w:val="279"/>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JP Protivgradna preventiva RS a.d. Gradiška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5.000.000,00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1.400.000,00</w:t>
            </w:r>
          </w:p>
        </w:tc>
      </w:tr>
      <w:tr w:rsidR="005934B2" w:rsidRPr="00847319" w:rsidTr="000366C5">
        <w:trPr>
          <w:trHeight w:val="267"/>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3 .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ZR Farma Nikolić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210.000,00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105.000,00</w:t>
            </w:r>
          </w:p>
        </w:tc>
      </w:tr>
      <w:tr w:rsidR="005934B2" w:rsidRPr="00847319" w:rsidTr="000366C5">
        <w:trPr>
          <w:trHeight w:val="130"/>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4 .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Mahagoni d.o.o. Istočno Sarajevo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486.749,40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100.000,00</w:t>
            </w:r>
          </w:p>
        </w:tc>
      </w:tr>
      <w:tr w:rsidR="005934B2" w:rsidRPr="00847319" w:rsidTr="000366C5">
        <w:trPr>
          <w:trHeight w:val="259"/>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5 .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USZ Agape Mrkonjić Grad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100.000,00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6 .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Atom Company d.o.o. Srbac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550.000,00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275.000,00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7 .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Bomerc d.o.o. Gradiška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900.000,00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315.000,00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8 .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ZU </w:t>
            </w:r>
            <w:r>
              <w:rPr>
                <w:rFonts w:asciiTheme="minorHAnsi" w:hAnsiTheme="minorHAnsi"/>
                <w:color w:val="000000" w:themeColor="text1"/>
                <w:sz w:val="18"/>
                <w:szCs w:val="18"/>
              </w:rPr>
              <w:t>„</w:t>
            </w:r>
            <w:r w:rsidRPr="008A00FD">
              <w:rPr>
                <w:rFonts w:asciiTheme="minorHAnsi" w:hAnsiTheme="minorHAnsi"/>
                <w:color w:val="000000" w:themeColor="text1"/>
                <w:sz w:val="18"/>
                <w:szCs w:val="18"/>
              </w:rPr>
              <w:t xml:space="preserve">S </w:t>
            </w:r>
            <w:r>
              <w:rPr>
                <w:rFonts w:asciiTheme="minorHAnsi" w:hAnsiTheme="minorHAnsi"/>
                <w:color w:val="000000" w:themeColor="text1"/>
                <w:sz w:val="18"/>
                <w:szCs w:val="18"/>
              </w:rPr>
              <w:t>–</w:t>
            </w:r>
            <w:r w:rsidRPr="008A00FD">
              <w:rPr>
                <w:rFonts w:asciiTheme="minorHAnsi" w:hAnsiTheme="minorHAnsi"/>
                <w:color w:val="000000" w:themeColor="text1"/>
                <w:sz w:val="18"/>
                <w:szCs w:val="18"/>
              </w:rPr>
              <w:t>LAB</w:t>
            </w:r>
            <w:r>
              <w:rPr>
                <w:rFonts w:asciiTheme="minorHAnsi" w:hAnsiTheme="minorHAnsi"/>
                <w:color w:val="000000" w:themeColor="text1"/>
                <w:sz w:val="18"/>
                <w:szCs w:val="18"/>
              </w:rPr>
              <w:t>“</w:t>
            </w:r>
            <w:r w:rsidRPr="008A00FD">
              <w:rPr>
                <w:rFonts w:asciiTheme="minorHAnsi" w:hAnsiTheme="minorHAnsi"/>
                <w:color w:val="000000" w:themeColor="text1"/>
                <w:sz w:val="18"/>
                <w:szCs w:val="18"/>
              </w:rPr>
              <w:t xml:space="preserve"> Banjaluka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60.000,00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30.000,00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9 .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ZT KOMERC D.O.O. Prijedor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180.000,00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90.000,00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10 .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MAESTRO Slađana Mandić s.p.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11 .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Pr>
                <w:rFonts w:asciiTheme="minorHAnsi" w:hAnsiTheme="minorHAnsi"/>
                <w:color w:val="000000" w:themeColor="text1"/>
                <w:sz w:val="18"/>
                <w:szCs w:val="18"/>
              </w:rPr>
              <w:t>„</w:t>
            </w:r>
            <w:r w:rsidRPr="008A00FD">
              <w:rPr>
                <w:rFonts w:asciiTheme="minorHAnsi" w:hAnsiTheme="minorHAnsi"/>
                <w:color w:val="000000" w:themeColor="text1"/>
                <w:sz w:val="18"/>
                <w:szCs w:val="18"/>
              </w:rPr>
              <w:t>G-INVEST</w:t>
            </w:r>
            <w:r>
              <w:rPr>
                <w:rFonts w:asciiTheme="minorHAnsi" w:hAnsiTheme="minorHAnsi"/>
                <w:color w:val="000000" w:themeColor="text1"/>
                <w:sz w:val="18"/>
                <w:szCs w:val="18"/>
              </w:rPr>
              <w:t>“</w:t>
            </w:r>
            <w:r w:rsidRPr="008A00FD">
              <w:rPr>
                <w:rFonts w:asciiTheme="minorHAnsi" w:hAnsiTheme="minorHAnsi"/>
                <w:color w:val="000000" w:themeColor="text1"/>
                <w:sz w:val="18"/>
                <w:szCs w:val="18"/>
              </w:rPr>
              <w:t xml:space="preserve"> d.o.o.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12 .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PARTNER  PRPTP, vl. Kovač Nikica  s.p.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120.000,00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36.000,00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13 .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Gradsko groblje JK ad Banja Luka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300.000,00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150.000,00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14 .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Sisma doo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15.000,00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15 .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ZU Health express Banja Luka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80.000,00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16 .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G&amp;Z TREJD doo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470.000,00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235.000,00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17 .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SAMARDŽIJA transport doo Laktaši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25.000,00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18 .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ZTR Servis Đurđić sp Sokolac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1.100.000,00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550.000,00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19 .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ŠUMIL d.o.o. Kozarska Dubica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200.000,00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20 .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Roki komerc d.o.o. Kozarska Dubica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21 .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Interlignum d.o.o. Teslić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200.000,00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22 .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PROMO SHOP DOO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700.000,00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349.930,00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23 .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Vitaminka a.d. Banja Luka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250.000,00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24 .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CASTELLINA SRPSKA d.o.o. Modriča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2.200.000,00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1.100.000,00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25 .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Agent ENEX</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500.000,00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250.000,00</w:t>
            </w:r>
          </w:p>
        </w:tc>
      </w:tr>
      <w:tr w:rsidR="005934B2" w:rsidRPr="00847319" w:rsidTr="000366C5">
        <w:trPr>
          <w:trHeight w:val="315"/>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26 .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Dejan Krivošić</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25.000,00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12.500,00</w:t>
            </w:r>
          </w:p>
        </w:tc>
      </w:tr>
      <w:tr w:rsidR="005934B2" w:rsidRPr="00847319" w:rsidTr="000366C5">
        <w:trPr>
          <w:trHeight w:val="258"/>
        </w:trPr>
        <w:tc>
          <w:tcPr>
            <w:tcW w:w="1080"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center"/>
              <w:rPr>
                <w:rFonts w:asciiTheme="minorHAnsi" w:hAnsiTheme="minorHAnsi"/>
                <w:color w:val="auto"/>
                <w:sz w:val="18"/>
                <w:szCs w:val="18"/>
              </w:rPr>
            </w:pPr>
            <w:r w:rsidRPr="00847319">
              <w:rPr>
                <w:rFonts w:asciiTheme="minorHAnsi" w:hAnsiTheme="minorHAnsi"/>
                <w:color w:val="auto"/>
                <w:sz w:val="18"/>
                <w:szCs w:val="18"/>
              </w:rPr>
              <w:t>27 .</w:t>
            </w:r>
          </w:p>
        </w:tc>
        <w:tc>
          <w:tcPr>
            <w:tcW w:w="4038" w:type="dxa"/>
            <w:tcBorders>
              <w:top w:val="nil"/>
              <w:left w:val="nil"/>
              <w:bottom w:val="single" w:sz="4" w:space="0" w:color="auto"/>
              <w:right w:val="nil"/>
            </w:tcBorders>
            <w:shd w:val="clear" w:color="000000" w:fill="FFFFFF"/>
            <w:hideMark/>
          </w:tcPr>
          <w:p w:rsidR="005934B2" w:rsidRPr="008A00FD" w:rsidRDefault="005934B2" w:rsidP="000366C5">
            <w:pPr>
              <w:jc w:val="left"/>
              <w:rPr>
                <w:rFonts w:asciiTheme="minorHAnsi" w:hAnsiTheme="minorHAnsi"/>
                <w:color w:val="000000" w:themeColor="text1"/>
                <w:sz w:val="18"/>
                <w:szCs w:val="18"/>
              </w:rPr>
            </w:pPr>
            <w:r w:rsidRPr="008A00FD">
              <w:rPr>
                <w:rFonts w:asciiTheme="minorHAnsi" w:hAnsiTheme="minorHAnsi"/>
                <w:color w:val="000000" w:themeColor="text1"/>
                <w:sz w:val="18"/>
                <w:szCs w:val="18"/>
              </w:rPr>
              <w:t xml:space="preserve">NV Trade d.o.o. </w:t>
            </w:r>
          </w:p>
        </w:tc>
        <w:tc>
          <w:tcPr>
            <w:tcW w:w="1701" w:type="dxa"/>
            <w:tcBorders>
              <w:top w:val="nil"/>
              <w:left w:val="single" w:sz="4" w:space="0" w:color="auto"/>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400.000,00</w:t>
            </w:r>
          </w:p>
        </w:tc>
        <w:tc>
          <w:tcPr>
            <w:tcW w:w="1985" w:type="dxa"/>
            <w:tcBorders>
              <w:top w:val="nil"/>
              <w:left w:val="nil"/>
              <w:bottom w:val="single" w:sz="4" w:space="0" w:color="auto"/>
              <w:right w:val="single" w:sz="4" w:space="0" w:color="auto"/>
            </w:tcBorders>
            <w:shd w:val="clear" w:color="000000" w:fill="FFFFFF"/>
            <w:hideMark/>
          </w:tcPr>
          <w:p w:rsidR="005934B2" w:rsidRPr="00847319" w:rsidRDefault="005934B2" w:rsidP="000366C5">
            <w:pPr>
              <w:jc w:val="right"/>
              <w:rPr>
                <w:rFonts w:asciiTheme="minorHAnsi" w:hAnsiTheme="minorHAnsi"/>
                <w:color w:val="auto"/>
                <w:sz w:val="18"/>
                <w:szCs w:val="18"/>
              </w:rPr>
            </w:pPr>
            <w:r w:rsidRPr="00847319">
              <w:rPr>
                <w:rFonts w:asciiTheme="minorHAnsi" w:hAnsiTheme="minorHAnsi"/>
                <w:color w:val="auto"/>
                <w:sz w:val="18"/>
                <w:szCs w:val="18"/>
              </w:rPr>
              <w:t>200.000,00</w:t>
            </w:r>
          </w:p>
        </w:tc>
      </w:tr>
      <w:tr w:rsidR="005934B2" w:rsidRPr="00847319" w:rsidTr="000366C5">
        <w:trPr>
          <w:trHeight w:val="315"/>
        </w:trPr>
        <w:tc>
          <w:tcPr>
            <w:tcW w:w="5118" w:type="dxa"/>
            <w:gridSpan w:val="2"/>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5934B2" w:rsidRPr="00847319" w:rsidRDefault="005934B2" w:rsidP="000366C5">
            <w:pPr>
              <w:jc w:val="center"/>
              <w:rPr>
                <w:rFonts w:asciiTheme="minorHAnsi" w:hAnsiTheme="minorHAnsi"/>
                <w:b/>
                <w:bCs/>
                <w:sz w:val="18"/>
                <w:szCs w:val="18"/>
              </w:rPr>
            </w:pPr>
            <w:r w:rsidRPr="00847319">
              <w:rPr>
                <w:rFonts w:asciiTheme="minorHAnsi" w:hAnsiTheme="minorHAnsi"/>
                <w:b/>
                <w:bCs/>
                <w:sz w:val="18"/>
                <w:szCs w:val="18"/>
              </w:rPr>
              <w:t>Ukupno</w:t>
            </w:r>
          </w:p>
        </w:tc>
        <w:tc>
          <w:tcPr>
            <w:tcW w:w="1701" w:type="dxa"/>
            <w:tcBorders>
              <w:top w:val="nil"/>
              <w:left w:val="nil"/>
              <w:bottom w:val="single" w:sz="4" w:space="0" w:color="auto"/>
              <w:right w:val="single" w:sz="4" w:space="0" w:color="auto"/>
            </w:tcBorders>
            <w:shd w:val="clear" w:color="000000" w:fill="8DB4E2"/>
            <w:noWrap/>
            <w:vAlign w:val="bottom"/>
            <w:hideMark/>
          </w:tcPr>
          <w:p w:rsidR="005934B2" w:rsidRPr="00847319" w:rsidRDefault="005934B2" w:rsidP="000366C5">
            <w:pPr>
              <w:jc w:val="right"/>
              <w:rPr>
                <w:rFonts w:asciiTheme="minorHAnsi" w:hAnsiTheme="minorHAnsi"/>
                <w:b/>
                <w:bCs/>
                <w:sz w:val="18"/>
                <w:szCs w:val="18"/>
              </w:rPr>
            </w:pPr>
            <w:r w:rsidRPr="00847319">
              <w:rPr>
                <w:rFonts w:asciiTheme="minorHAnsi" w:hAnsiTheme="minorHAnsi"/>
                <w:b/>
                <w:bCs/>
                <w:sz w:val="18"/>
                <w:szCs w:val="18"/>
              </w:rPr>
              <w:t>15.101.749,40</w:t>
            </w:r>
          </w:p>
        </w:tc>
        <w:tc>
          <w:tcPr>
            <w:tcW w:w="1985" w:type="dxa"/>
            <w:tcBorders>
              <w:top w:val="nil"/>
              <w:left w:val="nil"/>
              <w:bottom w:val="single" w:sz="4" w:space="0" w:color="auto"/>
              <w:right w:val="single" w:sz="4" w:space="0" w:color="auto"/>
            </w:tcBorders>
            <w:shd w:val="clear" w:color="000000" w:fill="8DB4E2"/>
            <w:noWrap/>
            <w:vAlign w:val="bottom"/>
            <w:hideMark/>
          </w:tcPr>
          <w:p w:rsidR="005934B2" w:rsidRPr="00847319" w:rsidRDefault="005934B2" w:rsidP="000366C5">
            <w:pPr>
              <w:jc w:val="right"/>
              <w:rPr>
                <w:rFonts w:asciiTheme="minorHAnsi" w:hAnsiTheme="minorHAnsi"/>
                <w:b/>
                <w:bCs/>
                <w:sz w:val="18"/>
                <w:szCs w:val="18"/>
              </w:rPr>
            </w:pPr>
            <w:r w:rsidRPr="00847319">
              <w:rPr>
                <w:rFonts w:asciiTheme="minorHAnsi" w:hAnsiTheme="minorHAnsi"/>
                <w:b/>
                <w:bCs/>
                <w:sz w:val="18"/>
                <w:szCs w:val="18"/>
              </w:rPr>
              <w:t>6.138.430,00</w:t>
            </w:r>
          </w:p>
        </w:tc>
      </w:tr>
    </w:tbl>
    <w:p w:rsidR="005934B2" w:rsidRPr="003D7300" w:rsidRDefault="005934B2" w:rsidP="00A401F8">
      <w:pPr>
        <w:rPr>
          <w:rFonts w:asciiTheme="minorHAnsi" w:eastAsiaTheme="minorHAnsi" w:hAnsiTheme="minorHAnsi"/>
          <w:color w:val="FF0000"/>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r w:rsidRPr="004A1761">
        <w:rPr>
          <w:rFonts w:asciiTheme="minorHAnsi" w:eastAsiaTheme="minorHAnsi" w:hAnsiTheme="minorHAnsi"/>
          <w:color w:val="000000" w:themeColor="text1"/>
          <w:sz w:val="20"/>
          <w:szCs w:val="20"/>
          <w:lang w:val="sr-Cyrl-BA" w:eastAsia="en-US"/>
        </w:rPr>
        <w:t>Tokom 2024. godine, van snage je stavljeno 27 garancija, inicijalno odobrenih u iznosu od 6.138.430,00 KM, čime je podržan plasman 15.101.749,40 KM kreditnih sredstava. Garancije su stavljene van snage po 2 osnova – redovnim istekom roka važenja ili prijevremenom otplatom od strane korisnika kredita.</w:t>
      </w: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pStyle w:val="ListParagraph"/>
        <w:numPr>
          <w:ilvl w:val="0"/>
          <w:numId w:val="29"/>
        </w:numPr>
        <w:rPr>
          <w:rFonts w:asciiTheme="minorHAnsi" w:eastAsiaTheme="minorHAnsi" w:hAnsiTheme="minorHAnsi"/>
          <w:color w:val="000000" w:themeColor="text1"/>
          <w:sz w:val="20"/>
          <w:szCs w:val="20"/>
          <w:lang w:val="sr-Cyrl-BA" w:eastAsia="en-US"/>
        </w:rPr>
      </w:pPr>
      <w:r>
        <w:rPr>
          <w:rFonts w:asciiTheme="minorHAnsi" w:eastAsiaTheme="minorHAnsi" w:hAnsiTheme="minorHAnsi"/>
          <w:color w:val="000000" w:themeColor="text1"/>
          <w:sz w:val="20"/>
          <w:szCs w:val="20"/>
          <w:lang w:val="sr-Cyrl-BA" w:eastAsia="en-US"/>
        </w:rPr>
        <w:t>Zbog isteka roka važenja, van snage je stavljeno 20 garancija u iznosu od 4.593,500 KM.</w:t>
      </w:r>
    </w:p>
    <w:p w:rsidR="005934B2" w:rsidRPr="00894936" w:rsidRDefault="005934B2" w:rsidP="00A401F8">
      <w:pPr>
        <w:pStyle w:val="ListParagraph"/>
        <w:numPr>
          <w:ilvl w:val="0"/>
          <w:numId w:val="29"/>
        </w:numPr>
        <w:rPr>
          <w:rFonts w:asciiTheme="minorHAnsi" w:eastAsiaTheme="minorHAnsi" w:hAnsiTheme="minorHAnsi"/>
          <w:color w:val="000000" w:themeColor="text1"/>
          <w:sz w:val="20"/>
          <w:szCs w:val="20"/>
          <w:lang w:val="sr-Cyrl-BA" w:eastAsia="en-US"/>
        </w:rPr>
      </w:pPr>
      <w:r>
        <w:rPr>
          <w:rFonts w:asciiTheme="minorHAnsi" w:eastAsiaTheme="minorHAnsi" w:hAnsiTheme="minorHAnsi"/>
          <w:color w:val="000000" w:themeColor="text1"/>
          <w:sz w:val="20"/>
          <w:szCs w:val="20"/>
          <w:lang w:val="sr-Cyrl-BA" w:eastAsia="en-US"/>
        </w:rPr>
        <w:t>Zbog prijevremene optlate, van snage je stavljeno 7 garancija u iznosu od 1.544.930,00 KM</w:t>
      </w: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p>
    <w:p w:rsidR="005934B2" w:rsidRDefault="005934B2" w:rsidP="00A401F8">
      <w:pPr>
        <w:rPr>
          <w:rFonts w:asciiTheme="minorHAnsi" w:eastAsiaTheme="minorHAnsi" w:hAnsiTheme="minorHAnsi"/>
          <w:color w:val="000000" w:themeColor="text1"/>
          <w:sz w:val="20"/>
          <w:szCs w:val="20"/>
          <w:lang w:val="sr-Cyrl-BA" w:eastAsia="en-US"/>
        </w:rPr>
      </w:pPr>
    </w:p>
    <w:p w:rsidR="005934B2" w:rsidRPr="00D452DA" w:rsidRDefault="005934B2" w:rsidP="00A401F8">
      <w:pPr>
        <w:autoSpaceDE w:val="0"/>
        <w:autoSpaceDN w:val="0"/>
        <w:adjustRightInd w:val="0"/>
        <w:rPr>
          <w:rFonts w:asciiTheme="minorHAnsi" w:eastAsiaTheme="minorHAnsi" w:hAnsiTheme="minorHAnsi"/>
          <w:color w:val="FF0000"/>
          <w:sz w:val="20"/>
          <w:szCs w:val="20"/>
          <w:lang w:val="sr-Cyrl-RS" w:eastAsia="en-US"/>
        </w:rPr>
      </w:pPr>
    </w:p>
    <w:p w:rsidR="005934B2" w:rsidRPr="00847319" w:rsidRDefault="005934B2" w:rsidP="00A401F8">
      <w:pPr>
        <w:autoSpaceDE w:val="0"/>
        <w:autoSpaceDN w:val="0"/>
        <w:adjustRightInd w:val="0"/>
        <w:jc w:val="center"/>
        <w:rPr>
          <w:rFonts w:asciiTheme="minorHAnsi" w:eastAsiaTheme="minorHAnsi" w:hAnsiTheme="minorHAnsi"/>
          <w:b/>
          <w:bCs/>
          <w:color w:val="000000" w:themeColor="text1"/>
          <w:sz w:val="20"/>
          <w:szCs w:val="20"/>
          <w:lang w:val="sr-Cyrl-RS" w:eastAsia="en-US"/>
        </w:rPr>
      </w:pPr>
      <w:r w:rsidRPr="00847319">
        <w:rPr>
          <w:rFonts w:asciiTheme="minorHAnsi" w:eastAsiaTheme="minorHAnsi" w:hAnsiTheme="minorHAnsi"/>
          <w:b/>
          <w:bCs/>
          <w:color w:val="000000" w:themeColor="text1"/>
          <w:sz w:val="20"/>
          <w:szCs w:val="20"/>
          <w:lang w:val="sr-Latn-RS" w:eastAsia="en-US"/>
        </w:rPr>
        <w:lastRenderedPageBreak/>
        <w:t xml:space="preserve">Pregled </w:t>
      </w:r>
      <w:r w:rsidRPr="00847319">
        <w:rPr>
          <w:rFonts w:asciiTheme="minorHAnsi" w:eastAsiaTheme="minorHAnsi" w:hAnsiTheme="minorHAnsi"/>
          <w:b/>
          <w:bCs/>
          <w:color w:val="000000" w:themeColor="text1"/>
          <w:sz w:val="20"/>
          <w:szCs w:val="20"/>
          <w:lang w:val="sr-Cyrl-BA" w:eastAsia="en-US"/>
        </w:rPr>
        <w:t xml:space="preserve"> </w:t>
      </w:r>
      <w:r>
        <w:rPr>
          <w:rFonts w:asciiTheme="minorHAnsi" w:eastAsiaTheme="minorHAnsi" w:hAnsiTheme="minorHAnsi"/>
          <w:b/>
          <w:bCs/>
          <w:color w:val="000000" w:themeColor="text1"/>
          <w:sz w:val="20"/>
          <w:szCs w:val="20"/>
          <w:lang w:val="sr-Cyrl-BA" w:eastAsia="en-US"/>
        </w:rPr>
        <w:t>plaćenih</w:t>
      </w:r>
      <w:r w:rsidRPr="00847319">
        <w:rPr>
          <w:rFonts w:asciiTheme="minorHAnsi" w:eastAsiaTheme="minorHAnsi" w:hAnsiTheme="minorHAnsi"/>
          <w:b/>
          <w:bCs/>
          <w:color w:val="000000" w:themeColor="text1"/>
          <w:sz w:val="20"/>
          <w:szCs w:val="20"/>
          <w:lang w:val="sr-Cyrl-BA" w:eastAsia="en-US"/>
        </w:rPr>
        <w:t xml:space="preserve"> </w:t>
      </w:r>
      <w:r w:rsidRPr="00847319">
        <w:rPr>
          <w:rFonts w:asciiTheme="minorHAnsi" w:eastAsiaTheme="minorHAnsi" w:hAnsiTheme="minorHAnsi"/>
          <w:b/>
          <w:bCs/>
          <w:color w:val="000000" w:themeColor="text1"/>
          <w:sz w:val="20"/>
          <w:szCs w:val="20"/>
          <w:lang w:val="sr-Latn-RS" w:eastAsia="en-US"/>
        </w:rPr>
        <w:t xml:space="preserve">garancija </w:t>
      </w:r>
      <w:r w:rsidRPr="00847319">
        <w:rPr>
          <w:rFonts w:asciiTheme="minorHAnsi" w:eastAsiaTheme="minorHAnsi" w:hAnsiTheme="minorHAnsi"/>
          <w:b/>
          <w:bCs/>
          <w:color w:val="000000" w:themeColor="text1"/>
          <w:sz w:val="20"/>
          <w:szCs w:val="20"/>
          <w:lang w:val="sr-Cyrl-RS" w:eastAsia="en-US"/>
        </w:rPr>
        <w:t>u</w:t>
      </w:r>
      <w:r w:rsidRPr="00847319">
        <w:rPr>
          <w:rFonts w:asciiTheme="minorHAnsi" w:eastAsiaTheme="minorHAnsi" w:hAnsiTheme="minorHAnsi"/>
          <w:b/>
          <w:bCs/>
          <w:color w:val="000000" w:themeColor="text1"/>
          <w:sz w:val="20"/>
          <w:szCs w:val="20"/>
          <w:lang w:val="sr-Latn-RS" w:eastAsia="en-US"/>
        </w:rPr>
        <w:t xml:space="preserve"> period</w:t>
      </w:r>
      <w:r w:rsidRPr="00847319">
        <w:rPr>
          <w:rFonts w:asciiTheme="minorHAnsi" w:eastAsiaTheme="minorHAnsi" w:hAnsiTheme="minorHAnsi"/>
          <w:b/>
          <w:bCs/>
          <w:color w:val="000000" w:themeColor="text1"/>
          <w:sz w:val="20"/>
          <w:szCs w:val="20"/>
          <w:lang w:val="sr-Cyrl-RS" w:eastAsia="en-US"/>
        </w:rPr>
        <w:t>u</w:t>
      </w:r>
      <w:r w:rsidRPr="00847319">
        <w:rPr>
          <w:rFonts w:asciiTheme="minorHAnsi" w:eastAsiaTheme="minorHAnsi" w:hAnsiTheme="minorHAnsi"/>
          <w:b/>
          <w:bCs/>
          <w:color w:val="000000" w:themeColor="text1"/>
          <w:sz w:val="20"/>
          <w:szCs w:val="20"/>
          <w:lang w:val="sr-Latn-RS" w:eastAsia="en-US"/>
        </w:rPr>
        <w:t xml:space="preserve"> 01.01.202</w:t>
      </w:r>
      <w:r w:rsidRPr="00847319">
        <w:rPr>
          <w:rFonts w:asciiTheme="minorHAnsi" w:eastAsiaTheme="minorHAnsi" w:hAnsiTheme="minorHAnsi"/>
          <w:b/>
          <w:bCs/>
          <w:color w:val="000000" w:themeColor="text1"/>
          <w:sz w:val="20"/>
          <w:szCs w:val="20"/>
          <w:lang w:eastAsia="en-US"/>
        </w:rPr>
        <w:t>4</w:t>
      </w:r>
      <w:r w:rsidRPr="00847319">
        <w:rPr>
          <w:rFonts w:asciiTheme="minorHAnsi" w:eastAsiaTheme="minorHAnsi" w:hAnsiTheme="minorHAnsi"/>
          <w:b/>
          <w:bCs/>
          <w:color w:val="000000" w:themeColor="text1"/>
          <w:sz w:val="20"/>
          <w:szCs w:val="20"/>
          <w:lang w:val="sr-Latn-RS" w:eastAsia="en-US"/>
        </w:rPr>
        <w:t>. - 31.12.202</w:t>
      </w:r>
      <w:r w:rsidRPr="00847319">
        <w:rPr>
          <w:rFonts w:asciiTheme="minorHAnsi" w:eastAsiaTheme="minorHAnsi" w:hAnsiTheme="minorHAnsi"/>
          <w:b/>
          <w:bCs/>
          <w:color w:val="000000" w:themeColor="text1"/>
          <w:sz w:val="20"/>
          <w:szCs w:val="20"/>
          <w:lang w:eastAsia="en-US"/>
        </w:rPr>
        <w:t>4</w:t>
      </w:r>
      <w:r w:rsidRPr="00847319">
        <w:rPr>
          <w:rFonts w:asciiTheme="minorHAnsi" w:eastAsiaTheme="minorHAnsi" w:hAnsiTheme="minorHAnsi"/>
          <w:b/>
          <w:bCs/>
          <w:color w:val="000000" w:themeColor="text1"/>
          <w:sz w:val="20"/>
          <w:szCs w:val="20"/>
          <w:lang w:val="sr-Latn-RS" w:eastAsia="en-US"/>
        </w:rPr>
        <w:t>. godine</w:t>
      </w:r>
    </w:p>
    <w:p w:rsidR="005934B2" w:rsidRPr="00847319" w:rsidRDefault="005934B2" w:rsidP="00A401F8">
      <w:pPr>
        <w:autoSpaceDE w:val="0"/>
        <w:autoSpaceDN w:val="0"/>
        <w:adjustRightInd w:val="0"/>
        <w:rPr>
          <w:rFonts w:asciiTheme="minorHAnsi" w:eastAsiaTheme="minorHAnsi" w:hAnsiTheme="minorHAnsi"/>
          <w:b/>
          <w:color w:val="000000" w:themeColor="text1"/>
          <w:sz w:val="20"/>
          <w:szCs w:val="20"/>
          <w:lang w:val="sr-Cyrl-BA" w:eastAsia="en-US"/>
        </w:rPr>
      </w:pP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Latn-BA" w:eastAsia="en-US"/>
        </w:rPr>
        <w:tab/>
      </w:r>
      <w:r w:rsidRPr="00847319">
        <w:rPr>
          <w:rFonts w:asciiTheme="minorHAnsi" w:eastAsiaTheme="minorHAnsi" w:hAnsiTheme="minorHAnsi"/>
          <w:color w:val="000000" w:themeColor="text1"/>
          <w:sz w:val="20"/>
          <w:szCs w:val="20"/>
          <w:lang w:val="sr-Cyrl-RS" w:eastAsia="en-US"/>
        </w:rPr>
        <w:t xml:space="preserve">    </w:t>
      </w:r>
      <w:r w:rsidRPr="00847319">
        <w:rPr>
          <w:rFonts w:asciiTheme="minorHAnsi" w:eastAsiaTheme="minorHAnsi" w:hAnsiTheme="minorHAnsi"/>
          <w:b/>
          <w:color w:val="000000" w:themeColor="text1"/>
          <w:sz w:val="20"/>
          <w:szCs w:val="20"/>
          <w:lang w:val="sr-Cyrl-BA" w:eastAsia="en-US"/>
        </w:rPr>
        <w:t xml:space="preserve">Tabela </w:t>
      </w:r>
      <w:r>
        <w:rPr>
          <w:rFonts w:asciiTheme="minorHAnsi" w:eastAsiaTheme="minorHAnsi" w:hAnsiTheme="minorHAnsi"/>
          <w:b/>
          <w:color w:val="000000" w:themeColor="text1"/>
          <w:sz w:val="20"/>
          <w:szCs w:val="20"/>
          <w:lang w:val="sr-Cyrl-BA" w:eastAsia="en-US"/>
        </w:rPr>
        <w:t>2</w:t>
      </w:r>
    </w:p>
    <w:tbl>
      <w:tblPr>
        <w:tblpPr w:leftFromText="180" w:rightFromText="180" w:vertAnchor="text" w:horzAnchor="margin" w:tblpY="104"/>
        <w:tblW w:w="8897" w:type="dxa"/>
        <w:tblLayout w:type="fixed"/>
        <w:tblLook w:val="04A0" w:firstRow="1" w:lastRow="0" w:firstColumn="1" w:lastColumn="0" w:noHBand="0" w:noVBand="1"/>
      </w:tblPr>
      <w:tblGrid>
        <w:gridCol w:w="392"/>
        <w:gridCol w:w="1701"/>
        <w:gridCol w:w="1984"/>
        <w:gridCol w:w="1276"/>
        <w:gridCol w:w="1276"/>
        <w:gridCol w:w="1276"/>
        <w:gridCol w:w="992"/>
      </w:tblGrid>
      <w:tr w:rsidR="005934B2" w:rsidRPr="00794573" w:rsidTr="000366C5">
        <w:trPr>
          <w:trHeight w:val="1110"/>
        </w:trPr>
        <w:tc>
          <w:tcPr>
            <w:tcW w:w="392"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794573" w:rsidRDefault="005934B2" w:rsidP="000366C5">
            <w:pPr>
              <w:ind w:left="-142" w:right="-108"/>
              <w:jc w:val="left"/>
              <w:rPr>
                <w:rFonts w:ascii="Calibri" w:hAnsi="Calibri"/>
                <w:b/>
                <w:bCs/>
                <w:sz w:val="18"/>
                <w:szCs w:val="18"/>
              </w:rPr>
            </w:pPr>
            <w:r w:rsidRPr="00794573">
              <w:rPr>
                <w:rFonts w:ascii="Calibri" w:hAnsi="Calibri"/>
                <w:b/>
                <w:bCs/>
                <w:sz w:val="18"/>
                <w:szCs w:val="18"/>
                <w:lang w:val="sr-Cyrl-RS"/>
              </w:rPr>
              <w:t>Red br.</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5934B2" w:rsidRPr="00794573" w:rsidRDefault="005934B2" w:rsidP="000366C5">
            <w:pPr>
              <w:jc w:val="left"/>
              <w:rPr>
                <w:rFonts w:ascii="Calibri" w:hAnsi="Calibri"/>
                <w:b/>
                <w:bCs/>
                <w:sz w:val="18"/>
                <w:szCs w:val="18"/>
              </w:rPr>
            </w:pPr>
            <w:r w:rsidRPr="00794573">
              <w:rPr>
                <w:rFonts w:ascii="Calibri" w:hAnsi="Calibri"/>
                <w:b/>
                <w:bCs/>
                <w:sz w:val="18"/>
                <w:szCs w:val="18"/>
                <w:lang w:val="sr-Latn-RS"/>
              </w:rPr>
              <w:t>Nalogodavac garancije</w:t>
            </w:r>
          </w:p>
        </w:tc>
        <w:tc>
          <w:tcPr>
            <w:tcW w:w="1984" w:type="dxa"/>
            <w:tcBorders>
              <w:top w:val="single" w:sz="4" w:space="0" w:color="auto"/>
              <w:left w:val="nil"/>
              <w:bottom w:val="single" w:sz="4" w:space="0" w:color="auto"/>
              <w:right w:val="single" w:sz="4" w:space="0" w:color="auto"/>
            </w:tcBorders>
            <w:shd w:val="clear" w:color="000000" w:fill="8DB3E2"/>
            <w:vAlign w:val="center"/>
            <w:hideMark/>
          </w:tcPr>
          <w:p w:rsidR="005934B2" w:rsidRPr="00794573" w:rsidRDefault="005934B2" w:rsidP="000366C5">
            <w:pPr>
              <w:jc w:val="left"/>
              <w:rPr>
                <w:rFonts w:ascii="Calibri" w:hAnsi="Calibri"/>
                <w:b/>
                <w:bCs/>
                <w:sz w:val="18"/>
                <w:szCs w:val="18"/>
              </w:rPr>
            </w:pPr>
            <w:r w:rsidRPr="00794573">
              <w:rPr>
                <w:rFonts w:ascii="Calibri" w:hAnsi="Calibri"/>
                <w:b/>
                <w:bCs/>
                <w:sz w:val="18"/>
                <w:szCs w:val="18"/>
              </w:rPr>
              <w:t>Korisnik garancije</w:t>
            </w:r>
          </w:p>
        </w:tc>
        <w:tc>
          <w:tcPr>
            <w:tcW w:w="1276" w:type="dxa"/>
            <w:tcBorders>
              <w:top w:val="single" w:sz="4" w:space="0" w:color="auto"/>
              <w:left w:val="nil"/>
              <w:bottom w:val="single" w:sz="4" w:space="0" w:color="auto"/>
              <w:right w:val="single" w:sz="4" w:space="0" w:color="auto"/>
            </w:tcBorders>
            <w:shd w:val="clear" w:color="000000" w:fill="8DB3E2"/>
            <w:vAlign w:val="center"/>
            <w:hideMark/>
          </w:tcPr>
          <w:p w:rsidR="005934B2" w:rsidRPr="00794573" w:rsidRDefault="005934B2" w:rsidP="000366C5">
            <w:pPr>
              <w:jc w:val="center"/>
              <w:rPr>
                <w:rFonts w:ascii="Calibri" w:hAnsi="Calibri"/>
                <w:b/>
                <w:bCs/>
                <w:sz w:val="18"/>
                <w:szCs w:val="18"/>
              </w:rPr>
            </w:pPr>
            <w:r w:rsidRPr="00794573">
              <w:rPr>
                <w:rFonts w:ascii="Calibri" w:hAnsi="Calibri"/>
                <w:b/>
                <w:bCs/>
                <w:sz w:val="18"/>
                <w:szCs w:val="18"/>
                <w:lang w:val="sr-Latn-RS"/>
              </w:rPr>
              <w:t>Iznos Kredita/ Iznos garantovanog anuiteta</w:t>
            </w:r>
          </w:p>
        </w:tc>
        <w:tc>
          <w:tcPr>
            <w:tcW w:w="1276" w:type="dxa"/>
            <w:tcBorders>
              <w:top w:val="single" w:sz="4" w:space="0" w:color="auto"/>
              <w:left w:val="nil"/>
              <w:bottom w:val="single" w:sz="4" w:space="0" w:color="auto"/>
              <w:right w:val="single" w:sz="4" w:space="0" w:color="auto"/>
            </w:tcBorders>
            <w:shd w:val="clear" w:color="000000" w:fill="8DB3E2"/>
            <w:vAlign w:val="center"/>
            <w:hideMark/>
          </w:tcPr>
          <w:p w:rsidR="005934B2" w:rsidRPr="00794573" w:rsidRDefault="005934B2" w:rsidP="000366C5">
            <w:pPr>
              <w:jc w:val="center"/>
              <w:rPr>
                <w:rFonts w:ascii="Calibri" w:hAnsi="Calibri"/>
                <w:b/>
                <w:bCs/>
                <w:sz w:val="18"/>
                <w:szCs w:val="18"/>
              </w:rPr>
            </w:pPr>
            <w:r w:rsidRPr="00794573">
              <w:rPr>
                <w:rFonts w:ascii="Calibri" w:hAnsi="Calibri"/>
                <w:b/>
                <w:bCs/>
                <w:sz w:val="18"/>
                <w:szCs w:val="18"/>
                <w:lang w:val="sr-Cyrl-RS"/>
              </w:rPr>
              <w:t>Nominalni iznos garancije</w:t>
            </w:r>
          </w:p>
        </w:tc>
        <w:tc>
          <w:tcPr>
            <w:tcW w:w="1276" w:type="dxa"/>
            <w:tcBorders>
              <w:top w:val="single" w:sz="4" w:space="0" w:color="auto"/>
              <w:left w:val="nil"/>
              <w:bottom w:val="single" w:sz="4" w:space="0" w:color="auto"/>
              <w:right w:val="single" w:sz="4" w:space="0" w:color="auto"/>
            </w:tcBorders>
            <w:shd w:val="clear" w:color="000000" w:fill="8DB3E2"/>
            <w:vAlign w:val="center"/>
            <w:hideMark/>
          </w:tcPr>
          <w:p w:rsidR="005934B2" w:rsidRPr="00794573" w:rsidRDefault="005934B2" w:rsidP="000366C5">
            <w:pPr>
              <w:jc w:val="center"/>
              <w:rPr>
                <w:rFonts w:ascii="Calibri" w:hAnsi="Calibri"/>
                <w:b/>
                <w:bCs/>
                <w:sz w:val="18"/>
                <w:szCs w:val="18"/>
              </w:rPr>
            </w:pPr>
            <w:r w:rsidRPr="00794573">
              <w:rPr>
                <w:rFonts w:ascii="Calibri" w:hAnsi="Calibri"/>
                <w:b/>
                <w:bCs/>
                <w:sz w:val="18"/>
                <w:szCs w:val="18"/>
                <w:lang w:val="sr-Cyrl-RS"/>
              </w:rPr>
              <w:t>Protestovani iznos garancije</w:t>
            </w:r>
          </w:p>
        </w:tc>
        <w:tc>
          <w:tcPr>
            <w:tcW w:w="992" w:type="dxa"/>
            <w:tcBorders>
              <w:top w:val="single" w:sz="4" w:space="0" w:color="auto"/>
              <w:left w:val="nil"/>
              <w:bottom w:val="single" w:sz="4" w:space="0" w:color="auto"/>
              <w:right w:val="single" w:sz="4" w:space="0" w:color="auto"/>
            </w:tcBorders>
            <w:shd w:val="clear" w:color="000000" w:fill="8DB3E2"/>
            <w:vAlign w:val="center"/>
            <w:hideMark/>
          </w:tcPr>
          <w:p w:rsidR="005934B2" w:rsidRPr="00794573" w:rsidRDefault="005934B2" w:rsidP="000366C5">
            <w:pPr>
              <w:ind w:right="-108"/>
              <w:jc w:val="center"/>
              <w:rPr>
                <w:rFonts w:ascii="Calibri" w:hAnsi="Calibri"/>
                <w:b/>
                <w:bCs/>
                <w:sz w:val="18"/>
                <w:szCs w:val="18"/>
              </w:rPr>
            </w:pPr>
            <w:r w:rsidRPr="00794573">
              <w:rPr>
                <w:rFonts w:ascii="Calibri" w:hAnsi="Calibri"/>
                <w:b/>
                <w:bCs/>
                <w:sz w:val="18"/>
                <w:szCs w:val="18"/>
                <w:lang w:val="sr-Cyrl-RS"/>
              </w:rPr>
              <w:t>Plaćeni iznos garancije</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Mane Komerc d.o.o. Srbac</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Nova banka a.d. Banja Luka</w:t>
            </w:r>
          </w:p>
        </w:tc>
        <w:tc>
          <w:tcPr>
            <w:tcW w:w="1276"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4.500.000,00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1.500.000,00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1.485.962,50</w:t>
            </w:r>
          </w:p>
        </w:tc>
        <w:tc>
          <w:tcPr>
            <w:tcW w:w="992"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ind w:right="-108" w:hanging="108"/>
              <w:jc w:val="right"/>
              <w:rPr>
                <w:rFonts w:ascii="Calibri" w:hAnsi="Calibri"/>
                <w:sz w:val="18"/>
                <w:szCs w:val="18"/>
              </w:rPr>
            </w:pPr>
            <w:r w:rsidRPr="00794573">
              <w:rPr>
                <w:rFonts w:ascii="Calibri" w:hAnsi="Calibri"/>
                <w:sz w:val="18"/>
                <w:szCs w:val="18"/>
              </w:rPr>
              <w:t>1.485.962,50</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2 .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PILEPROM d.o.o. Srbac</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Fond za razvoj i zapošljavanje a.d. B. Luka</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1.340.000,00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670.000,00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502.772,02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ind w:hanging="108"/>
              <w:jc w:val="right"/>
              <w:rPr>
                <w:rFonts w:ascii="Calibri" w:hAnsi="Calibri"/>
                <w:sz w:val="18"/>
                <w:szCs w:val="18"/>
              </w:rPr>
            </w:pPr>
            <w:r w:rsidRPr="00794573">
              <w:rPr>
                <w:rFonts w:ascii="Calibri" w:hAnsi="Calibri"/>
                <w:sz w:val="18"/>
                <w:szCs w:val="18"/>
              </w:rPr>
              <w:t>502.772,02</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3 .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Default="005934B2" w:rsidP="000366C5">
            <w:pPr>
              <w:jc w:val="left"/>
              <w:rPr>
                <w:rFonts w:ascii="Calibri" w:hAnsi="Calibri"/>
                <w:sz w:val="18"/>
                <w:szCs w:val="18"/>
                <w:lang w:val="sr-Cyrl-RS"/>
              </w:rPr>
            </w:pPr>
            <w:r w:rsidRPr="00794573">
              <w:rPr>
                <w:rFonts w:ascii="Calibri" w:hAnsi="Calibri"/>
                <w:sz w:val="18"/>
                <w:szCs w:val="18"/>
              </w:rPr>
              <w:t xml:space="preserve">Centralni registar </w:t>
            </w:r>
          </w:p>
          <w:p w:rsidR="005934B2" w:rsidRPr="00794573" w:rsidRDefault="005934B2" w:rsidP="000366C5">
            <w:pPr>
              <w:jc w:val="left"/>
              <w:rPr>
                <w:rFonts w:ascii="Calibri" w:hAnsi="Calibri"/>
                <w:sz w:val="18"/>
                <w:szCs w:val="18"/>
                <w:lang w:val="sr-Cyrl-RS"/>
              </w:rPr>
            </w:pPr>
            <w:r>
              <w:rPr>
                <w:rFonts w:ascii="Calibri" w:hAnsi="Calibri"/>
                <w:sz w:val="18"/>
                <w:szCs w:val="18"/>
                <w:lang w:val="sr-Cyrl-RS"/>
              </w:rPr>
              <w:t>HOV</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29.832,50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17.899,50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17.899,50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17.899,50</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4 .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Default="005934B2" w:rsidP="000366C5">
            <w:pPr>
              <w:jc w:val="left"/>
              <w:rPr>
                <w:rFonts w:ascii="Calibri" w:hAnsi="Calibri"/>
                <w:sz w:val="18"/>
                <w:szCs w:val="18"/>
                <w:lang w:val="sr-Cyrl-RS"/>
              </w:rPr>
            </w:pPr>
            <w:r w:rsidRPr="00794573">
              <w:rPr>
                <w:rFonts w:ascii="Calibri" w:hAnsi="Calibri"/>
                <w:sz w:val="18"/>
                <w:szCs w:val="18"/>
              </w:rPr>
              <w:t>Centralni registar</w:t>
            </w:r>
          </w:p>
          <w:p w:rsidR="005934B2" w:rsidRPr="00D01BB3" w:rsidRDefault="005934B2" w:rsidP="000366C5">
            <w:pPr>
              <w:jc w:val="left"/>
              <w:rPr>
                <w:rFonts w:ascii="Calibri" w:hAnsi="Calibri"/>
                <w:sz w:val="18"/>
                <w:szCs w:val="18"/>
                <w:lang w:val="sr-Cyrl-RS"/>
              </w:rPr>
            </w:pPr>
            <w:r>
              <w:rPr>
                <w:rFonts w:ascii="Calibri" w:hAnsi="Calibri"/>
                <w:sz w:val="18"/>
                <w:szCs w:val="18"/>
                <w:lang w:val="sr-Cyrl-RS"/>
              </w:rPr>
              <w:t>HOV</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29.981,65</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17.988,99</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17.988,97</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17.988,97</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5 .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Default="005934B2" w:rsidP="000366C5">
            <w:pPr>
              <w:jc w:val="left"/>
              <w:rPr>
                <w:rFonts w:ascii="Calibri" w:hAnsi="Calibri"/>
                <w:sz w:val="18"/>
                <w:szCs w:val="18"/>
                <w:lang w:val="sr-Cyrl-RS"/>
              </w:rPr>
            </w:pPr>
            <w:r w:rsidRPr="00794573">
              <w:rPr>
                <w:rFonts w:ascii="Calibri" w:hAnsi="Calibri"/>
                <w:sz w:val="18"/>
                <w:szCs w:val="18"/>
              </w:rPr>
              <w:t>Centralni registar</w:t>
            </w:r>
          </w:p>
          <w:p w:rsidR="005934B2" w:rsidRPr="00794573" w:rsidRDefault="005934B2" w:rsidP="000366C5">
            <w:pPr>
              <w:jc w:val="left"/>
              <w:rPr>
                <w:rFonts w:ascii="Calibri" w:hAnsi="Calibri"/>
                <w:sz w:val="18"/>
                <w:szCs w:val="18"/>
              </w:rPr>
            </w:pPr>
            <w:r>
              <w:rPr>
                <w:rFonts w:ascii="Calibri" w:hAnsi="Calibri"/>
                <w:sz w:val="18"/>
                <w:szCs w:val="18"/>
                <w:lang w:val="sr-Cyrl-RS"/>
              </w:rPr>
              <w:t>HOV</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30.131,57</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18.078,94</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18.078,94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18.078,94</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6 .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Default="005934B2" w:rsidP="000366C5">
            <w:pPr>
              <w:jc w:val="left"/>
              <w:rPr>
                <w:rFonts w:ascii="Calibri" w:hAnsi="Calibri"/>
                <w:sz w:val="18"/>
                <w:szCs w:val="18"/>
                <w:lang w:val="sr-Cyrl-RS"/>
              </w:rPr>
            </w:pPr>
            <w:r w:rsidRPr="00794573">
              <w:rPr>
                <w:rFonts w:ascii="Calibri" w:hAnsi="Calibri"/>
                <w:sz w:val="18"/>
                <w:szCs w:val="18"/>
              </w:rPr>
              <w:t>Centralni registar</w:t>
            </w:r>
          </w:p>
          <w:p w:rsidR="005934B2" w:rsidRPr="00794573" w:rsidRDefault="005934B2" w:rsidP="000366C5">
            <w:pPr>
              <w:jc w:val="left"/>
              <w:rPr>
                <w:rFonts w:ascii="Calibri" w:hAnsi="Calibri"/>
                <w:sz w:val="18"/>
                <w:szCs w:val="18"/>
              </w:rPr>
            </w:pPr>
            <w:r>
              <w:rPr>
                <w:rFonts w:ascii="Calibri" w:hAnsi="Calibri"/>
                <w:sz w:val="18"/>
                <w:szCs w:val="18"/>
                <w:lang w:val="sr-Cyrl-RS"/>
              </w:rPr>
              <w:t>HOV</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30.282,22</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18.169,33</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18.169,33</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18.169,33</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7 .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30.433,63</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18.260,18</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18.260,18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18.260,18</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8 .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30.585,80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18.351,48</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18.351,48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18.351,48</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9 .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30.738,73</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18.443,24</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18.443,24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18.443,24</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10 .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30.892,43</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18.535,46</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18.535,46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18.535,46</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11 .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31.046,88</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18.628,13</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18.628,13</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18.628,13</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12 .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31.202,12</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18.721,27</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18.721,27</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18.721,27</w:t>
            </w:r>
          </w:p>
        </w:tc>
      </w:tr>
      <w:tr w:rsidR="005934B2" w:rsidRPr="00794573" w:rsidTr="000366C5">
        <w:trPr>
          <w:trHeight w:val="282"/>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13 .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31.358,13</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18.814,88</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18.814,88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18.814,88</w:t>
            </w:r>
          </w:p>
        </w:tc>
      </w:tr>
      <w:tr w:rsidR="005934B2" w:rsidRPr="00794573" w:rsidTr="000366C5">
        <w:trPr>
          <w:trHeight w:val="33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14 .</w:t>
            </w:r>
          </w:p>
        </w:tc>
        <w:tc>
          <w:tcPr>
            <w:tcW w:w="1701"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INTERLIGNUM d.o.o. Teslić</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31.514,92</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18.908,95</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18.908,95</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18.908,95</w:t>
            </w:r>
          </w:p>
        </w:tc>
      </w:tr>
      <w:tr w:rsidR="005934B2" w:rsidRPr="00794573" w:rsidTr="000366C5">
        <w:trPr>
          <w:trHeight w:val="27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15 .</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DI ŠIPOVO d.o.o. Šipovo</w:t>
            </w:r>
          </w:p>
        </w:tc>
        <w:tc>
          <w:tcPr>
            <w:tcW w:w="1984" w:type="dxa"/>
            <w:tcBorders>
              <w:top w:val="nil"/>
              <w:left w:val="nil"/>
              <w:bottom w:val="single" w:sz="4" w:space="0" w:color="auto"/>
              <w:right w:val="single" w:sz="4" w:space="0" w:color="auto"/>
            </w:tcBorders>
            <w:shd w:val="clear" w:color="auto" w:fill="auto"/>
            <w:vAlign w:val="center"/>
            <w:hideMark/>
          </w:tcPr>
          <w:p w:rsidR="005934B2" w:rsidRPr="00794573" w:rsidRDefault="005934B2" w:rsidP="000366C5">
            <w:pPr>
              <w:jc w:val="left"/>
              <w:rPr>
                <w:rFonts w:ascii="Calibri" w:hAnsi="Calibri"/>
                <w:sz w:val="18"/>
                <w:szCs w:val="18"/>
              </w:rPr>
            </w:pPr>
            <w:r w:rsidRPr="00794573">
              <w:rPr>
                <w:rFonts w:ascii="Calibri" w:hAnsi="Calibri"/>
                <w:sz w:val="18"/>
                <w:szCs w:val="18"/>
              </w:rPr>
              <w:t xml:space="preserve">Centralni registar </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22.780,93</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6.834,28</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6.834,28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6.834,28</w:t>
            </w:r>
          </w:p>
        </w:tc>
      </w:tr>
      <w:tr w:rsidR="005934B2" w:rsidRPr="00794573" w:rsidTr="000366C5">
        <w:trPr>
          <w:trHeight w:val="31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16 .</w:t>
            </w:r>
          </w:p>
        </w:tc>
        <w:tc>
          <w:tcPr>
            <w:tcW w:w="1701" w:type="dxa"/>
            <w:tcBorders>
              <w:top w:val="nil"/>
              <w:left w:val="nil"/>
              <w:bottom w:val="single" w:sz="4" w:space="0" w:color="auto"/>
              <w:right w:val="single" w:sz="4" w:space="0" w:color="auto"/>
            </w:tcBorders>
            <w:shd w:val="clear" w:color="auto" w:fill="auto"/>
            <w:noWrap/>
            <w:vAlign w:val="bottom"/>
            <w:hideMark/>
          </w:tcPr>
          <w:p w:rsidR="005934B2" w:rsidRPr="00794573" w:rsidRDefault="005934B2" w:rsidP="000366C5">
            <w:pPr>
              <w:jc w:val="left"/>
              <w:rPr>
                <w:rFonts w:ascii="Calibri" w:hAnsi="Calibri"/>
                <w:sz w:val="18"/>
                <w:szCs w:val="18"/>
              </w:rPr>
            </w:pPr>
            <w:r w:rsidRPr="00794573">
              <w:rPr>
                <w:rFonts w:ascii="Calibri" w:hAnsi="Calibri"/>
                <w:sz w:val="18"/>
                <w:szCs w:val="18"/>
              </w:rPr>
              <w:t>ĐURIĆMONT ztr Ineska Đurić s.p. Modriča</w:t>
            </w:r>
          </w:p>
        </w:tc>
        <w:tc>
          <w:tcPr>
            <w:tcW w:w="1984" w:type="dxa"/>
            <w:tcBorders>
              <w:top w:val="nil"/>
              <w:left w:val="nil"/>
              <w:bottom w:val="single" w:sz="4" w:space="0" w:color="auto"/>
              <w:right w:val="single" w:sz="4" w:space="0" w:color="auto"/>
            </w:tcBorders>
            <w:shd w:val="clear" w:color="auto" w:fill="auto"/>
            <w:noWrap/>
            <w:vAlign w:val="bottom"/>
            <w:hideMark/>
          </w:tcPr>
          <w:p w:rsidR="005934B2" w:rsidRPr="00794573" w:rsidRDefault="005934B2" w:rsidP="000366C5">
            <w:pPr>
              <w:jc w:val="left"/>
              <w:rPr>
                <w:rFonts w:ascii="Calibri" w:hAnsi="Calibri"/>
                <w:sz w:val="18"/>
                <w:szCs w:val="18"/>
              </w:rPr>
            </w:pPr>
            <w:r w:rsidRPr="00794573">
              <w:rPr>
                <w:rFonts w:ascii="Calibri" w:hAnsi="Calibri"/>
                <w:sz w:val="18"/>
                <w:szCs w:val="18"/>
              </w:rPr>
              <w:t>MF banka a.d. Banja Luka</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25.000,00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23.824,11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23.824,11</w:t>
            </w:r>
          </w:p>
        </w:tc>
      </w:tr>
      <w:tr w:rsidR="005934B2" w:rsidRPr="00794573" w:rsidTr="000366C5">
        <w:trPr>
          <w:trHeight w:val="315"/>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5934B2" w:rsidRPr="00794573" w:rsidRDefault="005934B2" w:rsidP="000366C5">
            <w:pPr>
              <w:ind w:left="-142"/>
              <w:jc w:val="right"/>
              <w:rPr>
                <w:rFonts w:ascii="Calibri" w:hAnsi="Calibri"/>
                <w:sz w:val="18"/>
                <w:szCs w:val="18"/>
              </w:rPr>
            </w:pPr>
            <w:r w:rsidRPr="00794573">
              <w:rPr>
                <w:rFonts w:ascii="Calibri" w:hAnsi="Calibri"/>
                <w:sz w:val="18"/>
                <w:szCs w:val="18"/>
              </w:rPr>
              <w:t>17 .</w:t>
            </w:r>
          </w:p>
        </w:tc>
        <w:tc>
          <w:tcPr>
            <w:tcW w:w="1701" w:type="dxa"/>
            <w:tcBorders>
              <w:top w:val="nil"/>
              <w:left w:val="nil"/>
              <w:bottom w:val="single" w:sz="4" w:space="0" w:color="auto"/>
              <w:right w:val="single" w:sz="4" w:space="0" w:color="auto"/>
            </w:tcBorders>
            <w:shd w:val="clear" w:color="auto" w:fill="auto"/>
            <w:noWrap/>
            <w:vAlign w:val="bottom"/>
            <w:hideMark/>
          </w:tcPr>
          <w:p w:rsidR="005934B2" w:rsidRPr="00794573" w:rsidRDefault="005934B2" w:rsidP="000366C5">
            <w:pPr>
              <w:jc w:val="left"/>
              <w:rPr>
                <w:rFonts w:ascii="Calibri" w:hAnsi="Calibri"/>
                <w:sz w:val="18"/>
                <w:szCs w:val="18"/>
              </w:rPr>
            </w:pPr>
            <w:r w:rsidRPr="00794573">
              <w:rPr>
                <w:rFonts w:ascii="Calibri" w:hAnsi="Calibri"/>
                <w:sz w:val="18"/>
                <w:szCs w:val="18"/>
              </w:rPr>
              <w:t>VS Company d.o.o. Prnjavor</w:t>
            </w:r>
          </w:p>
        </w:tc>
        <w:tc>
          <w:tcPr>
            <w:tcW w:w="1984" w:type="dxa"/>
            <w:tcBorders>
              <w:top w:val="nil"/>
              <w:left w:val="nil"/>
              <w:bottom w:val="single" w:sz="4" w:space="0" w:color="auto"/>
              <w:right w:val="single" w:sz="4" w:space="0" w:color="auto"/>
            </w:tcBorders>
            <w:shd w:val="clear" w:color="auto" w:fill="auto"/>
            <w:noWrap/>
            <w:vAlign w:val="bottom"/>
            <w:hideMark/>
          </w:tcPr>
          <w:p w:rsidR="005934B2" w:rsidRPr="00794573" w:rsidRDefault="005934B2" w:rsidP="000366C5">
            <w:pPr>
              <w:jc w:val="left"/>
              <w:rPr>
                <w:rFonts w:ascii="Calibri" w:hAnsi="Calibri"/>
                <w:sz w:val="18"/>
                <w:szCs w:val="18"/>
              </w:rPr>
            </w:pPr>
            <w:r w:rsidRPr="00794573">
              <w:rPr>
                <w:rFonts w:ascii="Calibri" w:hAnsi="Calibri"/>
                <w:sz w:val="18"/>
                <w:szCs w:val="18"/>
              </w:rPr>
              <w:t>MF banka a.d. Banja Luka</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100.000,00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50.000,00</w:t>
            </w:r>
          </w:p>
        </w:tc>
        <w:tc>
          <w:tcPr>
            <w:tcW w:w="1276"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32.499,79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794573" w:rsidRDefault="005934B2" w:rsidP="000366C5">
            <w:pPr>
              <w:jc w:val="right"/>
              <w:rPr>
                <w:rFonts w:ascii="Calibri" w:hAnsi="Calibri"/>
                <w:sz w:val="18"/>
                <w:szCs w:val="18"/>
              </w:rPr>
            </w:pPr>
            <w:r w:rsidRPr="00794573">
              <w:rPr>
                <w:rFonts w:ascii="Calibri" w:hAnsi="Calibri"/>
                <w:sz w:val="18"/>
                <w:szCs w:val="18"/>
              </w:rPr>
              <w:t>32.499,79</w:t>
            </w:r>
          </w:p>
        </w:tc>
      </w:tr>
      <w:tr w:rsidR="005934B2" w:rsidRPr="00794573" w:rsidTr="000366C5">
        <w:trPr>
          <w:trHeight w:val="315"/>
        </w:trPr>
        <w:tc>
          <w:tcPr>
            <w:tcW w:w="4077" w:type="dxa"/>
            <w:gridSpan w:val="3"/>
            <w:tcBorders>
              <w:top w:val="single" w:sz="4" w:space="0" w:color="auto"/>
              <w:left w:val="single" w:sz="4" w:space="0" w:color="auto"/>
              <w:bottom w:val="single" w:sz="4" w:space="0" w:color="auto"/>
              <w:right w:val="single" w:sz="4" w:space="0" w:color="auto"/>
            </w:tcBorders>
            <w:shd w:val="clear" w:color="000000" w:fill="8DB4E2"/>
            <w:noWrap/>
            <w:vAlign w:val="bottom"/>
            <w:hideMark/>
          </w:tcPr>
          <w:p w:rsidR="005934B2" w:rsidRPr="00794573" w:rsidRDefault="005934B2" w:rsidP="000366C5">
            <w:pPr>
              <w:jc w:val="center"/>
              <w:rPr>
                <w:rFonts w:ascii="Calibri" w:hAnsi="Calibri"/>
                <w:b/>
                <w:bCs/>
                <w:sz w:val="18"/>
                <w:szCs w:val="18"/>
              </w:rPr>
            </w:pPr>
            <w:r w:rsidRPr="00794573">
              <w:rPr>
                <w:rFonts w:ascii="Calibri" w:hAnsi="Calibri"/>
                <w:b/>
                <w:bCs/>
                <w:sz w:val="18"/>
                <w:szCs w:val="18"/>
              </w:rPr>
              <w:t>UKUPNO</w:t>
            </w:r>
          </w:p>
        </w:tc>
        <w:tc>
          <w:tcPr>
            <w:tcW w:w="1276" w:type="dxa"/>
            <w:tcBorders>
              <w:top w:val="single" w:sz="4" w:space="0" w:color="auto"/>
              <w:left w:val="nil"/>
              <w:bottom w:val="single" w:sz="4" w:space="0" w:color="auto"/>
              <w:right w:val="single" w:sz="4" w:space="0" w:color="auto"/>
            </w:tcBorders>
            <w:shd w:val="clear" w:color="000000" w:fill="8DB4E2"/>
            <w:noWrap/>
            <w:vAlign w:val="bottom"/>
            <w:hideMark/>
          </w:tcPr>
          <w:p w:rsidR="005934B2" w:rsidRPr="00794573" w:rsidRDefault="005934B2" w:rsidP="000366C5">
            <w:pPr>
              <w:jc w:val="center"/>
              <w:rPr>
                <w:rFonts w:ascii="Calibri" w:hAnsi="Calibri"/>
                <w:b/>
                <w:bCs/>
                <w:sz w:val="18"/>
                <w:szCs w:val="18"/>
              </w:rPr>
            </w:pPr>
            <w:r w:rsidRPr="00794573">
              <w:rPr>
                <w:rFonts w:ascii="Calibri" w:hAnsi="Calibri"/>
                <w:b/>
                <w:bCs/>
                <w:sz w:val="18"/>
                <w:szCs w:val="18"/>
              </w:rPr>
              <w:t>6.380.781,52</w:t>
            </w:r>
          </w:p>
        </w:tc>
        <w:tc>
          <w:tcPr>
            <w:tcW w:w="1276" w:type="dxa"/>
            <w:tcBorders>
              <w:top w:val="nil"/>
              <w:left w:val="nil"/>
              <w:bottom w:val="single" w:sz="4" w:space="0" w:color="auto"/>
              <w:right w:val="single" w:sz="4" w:space="0" w:color="auto"/>
            </w:tcBorders>
            <w:shd w:val="clear" w:color="000000" w:fill="8DB4E2"/>
            <w:noWrap/>
            <w:vAlign w:val="bottom"/>
            <w:hideMark/>
          </w:tcPr>
          <w:p w:rsidR="005934B2" w:rsidRPr="00794573" w:rsidRDefault="005934B2" w:rsidP="000366C5">
            <w:pPr>
              <w:jc w:val="right"/>
              <w:rPr>
                <w:rFonts w:ascii="Calibri" w:hAnsi="Calibri"/>
                <w:b/>
                <w:bCs/>
                <w:sz w:val="18"/>
                <w:szCs w:val="18"/>
              </w:rPr>
            </w:pPr>
            <w:r w:rsidRPr="00794573">
              <w:rPr>
                <w:rFonts w:ascii="Calibri" w:hAnsi="Calibri"/>
                <w:b/>
                <w:bCs/>
                <w:sz w:val="18"/>
                <w:szCs w:val="18"/>
              </w:rPr>
              <w:t>2.472.634,63</w:t>
            </w:r>
          </w:p>
        </w:tc>
        <w:tc>
          <w:tcPr>
            <w:tcW w:w="1276" w:type="dxa"/>
            <w:tcBorders>
              <w:top w:val="nil"/>
              <w:left w:val="nil"/>
              <w:bottom w:val="single" w:sz="4" w:space="0" w:color="auto"/>
              <w:right w:val="single" w:sz="4" w:space="0" w:color="auto"/>
            </w:tcBorders>
            <w:shd w:val="clear" w:color="000000" w:fill="8DB4E2"/>
            <w:noWrap/>
            <w:vAlign w:val="bottom"/>
            <w:hideMark/>
          </w:tcPr>
          <w:p w:rsidR="005934B2" w:rsidRPr="00794573" w:rsidRDefault="005934B2" w:rsidP="000366C5">
            <w:pPr>
              <w:jc w:val="right"/>
              <w:rPr>
                <w:rFonts w:ascii="Calibri" w:hAnsi="Calibri"/>
                <w:b/>
                <w:bCs/>
                <w:sz w:val="18"/>
                <w:szCs w:val="18"/>
              </w:rPr>
            </w:pPr>
            <w:r w:rsidRPr="00794573">
              <w:rPr>
                <w:rFonts w:ascii="Calibri" w:hAnsi="Calibri"/>
                <w:b/>
                <w:bCs/>
                <w:sz w:val="18"/>
                <w:szCs w:val="18"/>
              </w:rPr>
              <w:t>2.272.693,03</w:t>
            </w:r>
          </w:p>
        </w:tc>
        <w:tc>
          <w:tcPr>
            <w:tcW w:w="992" w:type="dxa"/>
            <w:tcBorders>
              <w:top w:val="nil"/>
              <w:left w:val="nil"/>
              <w:bottom w:val="single" w:sz="4" w:space="0" w:color="auto"/>
              <w:right w:val="single" w:sz="4" w:space="0" w:color="auto"/>
            </w:tcBorders>
            <w:shd w:val="clear" w:color="000000" w:fill="8DB4E2"/>
            <w:noWrap/>
            <w:vAlign w:val="bottom"/>
            <w:hideMark/>
          </w:tcPr>
          <w:p w:rsidR="005934B2" w:rsidRPr="00794573" w:rsidRDefault="005934B2" w:rsidP="000366C5">
            <w:pPr>
              <w:ind w:left="-108" w:right="-108" w:hanging="108"/>
              <w:jc w:val="right"/>
              <w:rPr>
                <w:rFonts w:ascii="Calibri" w:hAnsi="Calibri"/>
                <w:b/>
                <w:bCs/>
                <w:sz w:val="18"/>
                <w:szCs w:val="18"/>
              </w:rPr>
            </w:pPr>
            <w:r w:rsidRPr="00794573">
              <w:rPr>
                <w:rFonts w:ascii="Calibri" w:hAnsi="Calibri"/>
                <w:b/>
                <w:bCs/>
                <w:sz w:val="18"/>
                <w:szCs w:val="18"/>
              </w:rPr>
              <w:t>2.272.693,03</w:t>
            </w:r>
          </w:p>
        </w:tc>
      </w:tr>
    </w:tbl>
    <w:p w:rsidR="005934B2" w:rsidRPr="003D7300" w:rsidRDefault="005934B2" w:rsidP="00A401F8">
      <w:pPr>
        <w:autoSpaceDE w:val="0"/>
        <w:autoSpaceDN w:val="0"/>
        <w:adjustRightInd w:val="0"/>
        <w:rPr>
          <w:rFonts w:asciiTheme="minorHAnsi" w:eastAsiaTheme="minorHAnsi" w:hAnsiTheme="minorHAnsi"/>
          <w:color w:val="FF0000"/>
          <w:sz w:val="20"/>
          <w:szCs w:val="20"/>
          <w:lang w:val="sr-Cyrl-BA" w:eastAsia="en-US"/>
        </w:rPr>
      </w:pPr>
    </w:p>
    <w:p w:rsidR="005934B2" w:rsidRPr="00CF1455"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CF1455">
        <w:rPr>
          <w:rFonts w:asciiTheme="minorHAnsi" w:eastAsiaTheme="minorHAnsi" w:hAnsiTheme="minorHAnsi"/>
          <w:color w:val="auto"/>
          <w:sz w:val="20"/>
          <w:szCs w:val="20"/>
          <w:lang w:val="sr-Cyrl-BA" w:eastAsia="en-US"/>
        </w:rPr>
        <w:t xml:space="preserve">U 2024. godini </w:t>
      </w:r>
      <w:r>
        <w:rPr>
          <w:rFonts w:asciiTheme="minorHAnsi" w:eastAsiaTheme="minorHAnsi" w:hAnsiTheme="minorHAnsi"/>
          <w:color w:val="auto"/>
          <w:sz w:val="20"/>
          <w:szCs w:val="20"/>
          <w:lang w:val="sr-Cyrl-BA" w:eastAsia="en-US"/>
        </w:rPr>
        <w:t xml:space="preserve">je izvršeno plaćanje </w:t>
      </w:r>
      <w:r w:rsidRPr="00CF1455">
        <w:rPr>
          <w:rFonts w:asciiTheme="minorHAnsi" w:eastAsiaTheme="minorHAnsi" w:hAnsiTheme="minorHAnsi"/>
          <w:color w:val="auto"/>
          <w:sz w:val="20"/>
          <w:szCs w:val="20"/>
          <w:lang w:val="sr-Cyrl-BA" w:eastAsia="en-US"/>
        </w:rPr>
        <w:t>1</w:t>
      </w:r>
      <w:r>
        <w:rPr>
          <w:rFonts w:asciiTheme="minorHAnsi" w:eastAsiaTheme="minorHAnsi" w:hAnsiTheme="minorHAnsi"/>
          <w:color w:val="auto"/>
          <w:sz w:val="20"/>
          <w:szCs w:val="20"/>
          <w:lang w:val="sr-Cyrl-BA" w:eastAsia="en-US"/>
        </w:rPr>
        <w:t>7</w:t>
      </w:r>
      <w:r w:rsidRPr="00CF1455">
        <w:rPr>
          <w:rFonts w:asciiTheme="minorHAnsi" w:eastAsiaTheme="minorHAnsi" w:hAnsiTheme="minorHAnsi"/>
          <w:color w:val="auto"/>
          <w:sz w:val="20"/>
          <w:szCs w:val="20"/>
          <w:lang w:val="sr-Cyrl-BA" w:eastAsia="en-US"/>
        </w:rPr>
        <w:t xml:space="preserve"> garancija odobrenih u nominalnom iznosu od </w:t>
      </w:r>
      <w:r>
        <w:rPr>
          <w:rFonts w:asciiTheme="minorHAnsi" w:eastAsiaTheme="minorHAnsi" w:hAnsiTheme="minorHAnsi"/>
          <w:color w:val="auto"/>
          <w:sz w:val="20"/>
          <w:szCs w:val="20"/>
          <w:lang w:val="sr-Cyrl-BA" w:eastAsia="en-US"/>
        </w:rPr>
        <w:t>2.472.634,63</w:t>
      </w:r>
      <w:r w:rsidRPr="00CF1455">
        <w:rPr>
          <w:rFonts w:asciiTheme="minorHAnsi" w:eastAsiaTheme="minorHAnsi" w:hAnsiTheme="minorHAnsi"/>
          <w:color w:val="auto"/>
          <w:sz w:val="20"/>
          <w:szCs w:val="20"/>
          <w:lang w:val="sr-Cyrl-BA" w:eastAsia="en-US"/>
        </w:rPr>
        <w:t xml:space="preserve"> KM. Protestovani i plaćeni iznos navedenih garancija je </w:t>
      </w:r>
      <w:r>
        <w:rPr>
          <w:rFonts w:asciiTheme="minorHAnsi" w:eastAsiaTheme="minorHAnsi" w:hAnsiTheme="minorHAnsi"/>
          <w:color w:val="auto"/>
          <w:sz w:val="20"/>
          <w:szCs w:val="20"/>
          <w:lang w:val="sr-Cyrl-BA" w:eastAsia="en-US"/>
        </w:rPr>
        <w:t>2.272.693,03</w:t>
      </w:r>
      <w:r w:rsidRPr="00CF1455">
        <w:rPr>
          <w:rFonts w:asciiTheme="minorHAnsi" w:eastAsiaTheme="minorHAnsi" w:hAnsiTheme="minorHAnsi"/>
          <w:color w:val="auto"/>
          <w:sz w:val="20"/>
          <w:szCs w:val="20"/>
          <w:lang w:val="sr-Cyrl-BA" w:eastAsia="en-US"/>
        </w:rPr>
        <w:t xml:space="preserve"> KM, što odgovara stanju garancija na dan</w:t>
      </w:r>
      <w:r>
        <w:rPr>
          <w:rFonts w:asciiTheme="minorHAnsi" w:eastAsiaTheme="minorHAnsi" w:hAnsiTheme="minorHAnsi"/>
          <w:color w:val="auto"/>
          <w:sz w:val="20"/>
          <w:szCs w:val="20"/>
          <w:lang w:val="sr-Cyrl-BA" w:eastAsia="en-US"/>
        </w:rPr>
        <w:t xml:space="preserve"> podnošenja zahtjeva za plaćanje. Aktiviranjem instrumenata obezbjeđenja, odnosno regresnom naplatom do sada je naplaćen iznos od 11.715,44 KM. </w:t>
      </w:r>
    </w:p>
    <w:p w:rsidR="005934B2" w:rsidRPr="003D7300" w:rsidRDefault="005934B2" w:rsidP="00A401F8">
      <w:pPr>
        <w:autoSpaceDE w:val="0"/>
        <w:autoSpaceDN w:val="0"/>
        <w:adjustRightInd w:val="0"/>
        <w:rPr>
          <w:rFonts w:asciiTheme="minorHAnsi" w:eastAsiaTheme="minorHAnsi" w:hAnsiTheme="minorHAnsi"/>
          <w:color w:val="FF0000"/>
          <w:sz w:val="20"/>
          <w:szCs w:val="20"/>
          <w:lang w:val="sr-Cyrl-BA" w:eastAsia="en-US"/>
        </w:rPr>
      </w:pPr>
    </w:p>
    <w:p w:rsidR="005934B2" w:rsidRDefault="005934B2" w:rsidP="00A401F8">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Najveći dio plaćenih sredstava</w:t>
      </w:r>
      <w:r w:rsidRPr="00BF3550">
        <w:rPr>
          <w:rFonts w:asciiTheme="minorHAnsi" w:eastAsiaTheme="minorHAnsi" w:hAnsiTheme="minorHAnsi"/>
          <w:color w:val="auto"/>
          <w:sz w:val="20"/>
          <w:szCs w:val="20"/>
          <w:lang w:val="sr-Cyrl-BA" w:eastAsia="en-US"/>
        </w:rPr>
        <w:t xml:space="preserve"> se odnosi na garanciju za klijenta </w:t>
      </w:r>
      <w:r>
        <w:rPr>
          <w:rFonts w:asciiTheme="minorHAnsi" w:eastAsiaTheme="minorHAnsi" w:hAnsiTheme="minorHAnsi"/>
          <w:color w:val="auto"/>
          <w:sz w:val="20"/>
          <w:szCs w:val="20"/>
          <w:lang w:val="sr-Cyrl-BA" w:eastAsia="en-US"/>
        </w:rPr>
        <w:t xml:space="preserve">Mane Komerc d.o.o. Srbac u iznosu od 1.485.962,50 KM. Zahtjev za plaćanje je podnesen tokom 2023. godine, nakon čega je između Garantnog fonda i Nove banke kao korisnika garancije vođen sudski spor, a sudskom presudom je naloženo plaćanje garancije u februaru 2024. godine, kada je došlo do stvarnog odliva sredstava. </w:t>
      </w:r>
    </w:p>
    <w:p w:rsidR="005934B2" w:rsidRDefault="005934B2" w:rsidP="00A401F8">
      <w:pPr>
        <w:rPr>
          <w:rFonts w:asciiTheme="minorHAnsi" w:eastAsiaTheme="minorHAnsi" w:hAnsiTheme="minorHAnsi"/>
          <w:color w:val="auto"/>
          <w:sz w:val="20"/>
          <w:szCs w:val="20"/>
          <w:lang w:val="sr-Cyrl-BA" w:eastAsia="en-US"/>
        </w:rPr>
      </w:pPr>
    </w:p>
    <w:p w:rsidR="005934B2" w:rsidRPr="00454C9F" w:rsidRDefault="005934B2" w:rsidP="00A401F8">
      <w:pPr>
        <w:rPr>
          <w:rFonts w:ascii="Calibri" w:hAnsi="Calibri"/>
          <w:color w:val="auto"/>
          <w:sz w:val="18"/>
          <w:szCs w:val="18"/>
          <w:lang w:val="sr-Cyrl-RS"/>
        </w:rPr>
      </w:pPr>
      <w:r>
        <w:rPr>
          <w:rFonts w:asciiTheme="minorHAnsi" w:eastAsiaTheme="minorHAnsi" w:hAnsiTheme="minorHAnsi"/>
          <w:color w:val="auto"/>
          <w:sz w:val="20"/>
          <w:szCs w:val="20"/>
          <w:lang w:val="sr-Cyrl-BA" w:eastAsia="en-US"/>
        </w:rPr>
        <w:t xml:space="preserve">Nad imovinom dužnika se trenutno vodi stečajni postupak, a Garantni fond je prijavio svoja potraživanja i čeka okončanje postupka. Garancija za klijenta </w:t>
      </w:r>
      <w:r w:rsidRPr="00BF3550">
        <w:rPr>
          <w:rFonts w:asciiTheme="minorHAnsi" w:eastAsiaTheme="minorHAnsi" w:hAnsiTheme="minorHAnsi"/>
          <w:color w:val="auto"/>
          <w:sz w:val="20"/>
          <w:szCs w:val="20"/>
          <w:lang w:val="sr-Cyrl-BA" w:eastAsia="en-US"/>
        </w:rPr>
        <w:t>Pileprom d.o.o. Srbac</w:t>
      </w:r>
      <w:r>
        <w:rPr>
          <w:rFonts w:asciiTheme="minorHAnsi" w:eastAsiaTheme="minorHAnsi" w:hAnsiTheme="minorHAnsi"/>
          <w:color w:val="auto"/>
          <w:sz w:val="20"/>
          <w:szCs w:val="20"/>
          <w:lang w:val="sr-Cyrl-BA" w:eastAsia="en-US"/>
        </w:rPr>
        <w:t xml:space="preserve"> je plaćena</w:t>
      </w:r>
      <w:r w:rsidRPr="00BF3550">
        <w:rPr>
          <w:rFonts w:asciiTheme="minorHAnsi" w:eastAsiaTheme="minorHAnsi" w:hAnsiTheme="minorHAnsi"/>
          <w:color w:val="auto"/>
          <w:sz w:val="20"/>
          <w:szCs w:val="20"/>
          <w:lang w:val="sr-Cyrl-BA" w:eastAsia="en-US"/>
        </w:rPr>
        <w:t xml:space="preserve"> u iznosu od </w:t>
      </w:r>
      <w:r w:rsidRPr="00CF1455">
        <w:rPr>
          <w:rFonts w:ascii="Calibri" w:hAnsi="Calibri"/>
          <w:color w:val="auto"/>
          <w:sz w:val="20"/>
          <w:szCs w:val="20"/>
        </w:rPr>
        <w:t>502.772,02</w:t>
      </w:r>
      <w:r w:rsidRPr="00BF3550">
        <w:rPr>
          <w:rFonts w:asciiTheme="minorHAnsi" w:eastAsiaTheme="minorHAnsi" w:hAnsiTheme="minorHAnsi"/>
          <w:color w:val="auto"/>
          <w:sz w:val="20"/>
          <w:szCs w:val="20"/>
          <w:lang w:val="sr-Cyrl-BA" w:eastAsia="en-US"/>
        </w:rPr>
        <w:t xml:space="preserve"> KM. </w:t>
      </w:r>
      <w:r>
        <w:rPr>
          <w:rFonts w:asciiTheme="minorHAnsi" w:eastAsiaTheme="minorHAnsi" w:hAnsiTheme="minorHAnsi"/>
          <w:color w:val="auto"/>
          <w:sz w:val="20"/>
          <w:szCs w:val="20"/>
          <w:lang w:val="sr-Cyrl-BA" w:eastAsia="en-US"/>
        </w:rPr>
        <w:t>Navedena garancija j</w:t>
      </w:r>
      <w:r w:rsidRPr="00454C9F">
        <w:rPr>
          <w:rFonts w:asciiTheme="minorHAnsi" w:eastAsiaTheme="minorHAnsi" w:hAnsiTheme="minorHAnsi"/>
          <w:color w:val="auto"/>
          <w:sz w:val="20"/>
          <w:szCs w:val="20"/>
          <w:lang w:val="sr-Cyrl-BA" w:eastAsia="en-US"/>
        </w:rPr>
        <w:t>e</w:t>
      </w:r>
      <w:r>
        <w:rPr>
          <w:rFonts w:asciiTheme="minorHAnsi" w:eastAsiaTheme="minorHAnsi" w:hAnsiTheme="minorHAnsi"/>
          <w:color w:val="auto"/>
          <w:sz w:val="20"/>
          <w:szCs w:val="20"/>
          <w:lang w:val="sr-Cyrl-BA" w:eastAsia="en-US"/>
        </w:rPr>
        <w:t xml:space="preserve"> </w:t>
      </w:r>
      <w:r w:rsidRPr="00454C9F">
        <w:rPr>
          <w:rFonts w:asciiTheme="minorHAnsi" w:eastAsiaTheme="minorHAnsi" w:hAnsiTheme="minorHAnsi"/>
          <w:color w:val="auto"/>
          <w:sz w:val="20"/>
          <w:szCs w:val="20"/>
          <w:lang w:val="sr-Cyrl-BA" w:eastAsia="en-US"/>
        </w:rPr>
        <w:t>izdana 2015. godine u nom</w:t>
      </w:r>
      <w:r>
        <w:rPr>
          <w:rFonts w:asciiTheme="minorHAnsi" w:eastAsiaTheme="minorHAnsi" w:hAnsiTheme="minorHAnsi"/>
          <w:color w:val="auto"/>
          <w:sz w:val="20"/>
          <w:szCs w:val="20"/>
          <w:lang w:val="sr-Cyrl-BA" w:eastAsia="en-US"/>
        </w:rPr>
        <w:t xml:space="preserve">inalnom iznosu od 670.000,00 KM u korist </w:t>
      </w:r>
      <w:r w:rsidRPr="00CF1455">
        <w:rPr>
          <w:rFonts w:ascii="Calibri" w:hAnsi="Calibri"/>
          <w:color w:val="auto"/>
          <w:sz w:val="20"/>
          <w:szCs w:val="20"/>
        </w:rPr>
        <w:t>Fond</w:t>
      </w:r>
      <w:r>
        <w:rPr>
          <w:rFonts w:ascii="Calibri" w:hAnsi="Calibri"/>
          <w:color w:val="auto"/>
          <w:sz w:val="20"/>
          <w:szCs w:val="20"/>
          <w:lang w:val="sr-Cyrl-RS"/>
        </w:rPr>
        <w:t>a</w:t>
      </w:r>
      <w:r w:rsidRPr="00BF3550">
        <w:rPr>
          <w:rFonts w:ascii="Calibri" w:hAnsi="Calibri"/>
          <w:color w:val="auto"/>
          <w:sz w:val="20"/>
          <w:szCs w:val="20"/>
        </w:rPr>
        <w:t xml:space="preserve"> za razvoj i zapošljavanje a.d. </w:t>
      </w:r>
      <w:r w:rsidRPr="00BF3550">
        <w:rPr>
          <w:rFonts w:ascii="Calibri" w:hAnsi="Calibri"/>
          <w:color w:val="auto"/>
          <w:sz w:val="20"/>
          <w:szCs w:val="20"/>
          <w:lang w:val="sr-Cyrl-RS"/>
        </w:rPr>
        <w:t>Banja</w:t>
      </w:r>
      <w:r w:rsidRPr="00CF1455">
        <w:rPr>
          <w:rFonts w:ascii="Calibri" w:hAnsi="Calibri"/>
          <w:color w:val="auto"/>
          <w:sz w:val="20"/>
          <w:szCs w:val="20"/>
        </w:rPr>
        <w:t xml:space="preserve"> Luka</w:t>
      </w:r>
      <w:r>
        <w:rPr>
          <w:rFonts w:ascii="Calibri" w:hAnsi="Calibri"/>
          <w:color w:val="auto"/>
          <w:sz w:val="20"/>
          <w:szCs w:val="20"/>
          <w:lang w:val="sr-Cyrl-RS"/>
        </w:rPr>
        <w:t xml:space="preserve">, koji </w:t>
      </w:r>
      <w:r w:rsidRPr="00BF3550">
        <w:rPr>
          <w:rFonts w:asciiTheme="minorHAnsi" w:eastAsiaTheme="minorHAnsi" w:hAnsiTheme="minorHAnsi"/>
          <w:color w:val="auto"/>
          <w:sz w:val="20"/>
          <w:szCs w:val="20"/>
          <w:lang w:val="sr-Cyrl-BA" w:eastAsia="en-US"/>
        </w:rPr>
        <w:t>je dana 07.02.2024. godine</w:t>
      </w:r>
      <w:r w:rsidRPr="00670FF0">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uputio z</w:t>
      </w:r>
      <w:r w:rsidRPr="00BF3550">
        <w:rPr>
          <w:rFonts w:asciiTheme="minorHAnsi" w:eastAsiaTheme="minorHAnsi" w:hAnsiTheme="minorHAnsi"/>
          <w:color w:val="auto"/>
          <w:sz w:val="20"/>
          <w:szCs w:val="20"/>
          <w:lang w:val="sr-Cyrl-BA" w:eastAsia="en-US"/>
        </w:rPr>
        <w:t>ahtjev za plaćanje.</w:t>
      </w:r>
      <w:r w:rsidRPr="00454C9F">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Tokom 2024. godine je pokrenut izvršni postupak nad imovinom dužnika, a Garantni fond je prijavio svoja potraživanja i čeka okončanje postupka.</w:t>
      </w:r>
    </w:p>
    <w:p w:rsidR="005934B2" w:rsidRPr="006F6528"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6F6528">
        <w:rPr>
          <w:rFonts w:asciiTheme="minorHAnsi" w:eastAsiaTheme="minorHAnsi" w:hAnsiTheme="minorHAnsi"/>
          <w:color w:val="auto"/>
          <w:sz w:val="20"/>
          <w:szCs w:val="20"/>
          <w:lang w:val="sr-Cyrl-BA" w:eastAsia="en-US"/>
        </w:rPr>
        <w:t xml:space="preserve">U skladu sa Izmjenama i dopunama Zakona o Garantnom fondu Republike Srpske („Službeni glasnik RS“ broj 107/2019), omogućeno je izdavanje garancija radi djelimičnog obezbjeđenja emitovanih hartija od vrijednosti. U skladu s tim, garancija za nalogodavca Interlignum d.o.o. Teslić je izdana kao djelimično obezbjeđenje emitovanih obveznica klijenta, a izdana je u korist Centralnog registra za hartije od vrijednosti, koji ima ulogu platnog agenta. Specifičnost ovog garantnog posla je u tome što su garancije vezane za mjesečni anuitet, te se izdaje pojedinačna garancija u vrijednosti 60% svakog mjesečnog anuiteta. Iako je definisana jedinstvena garancija na nivou cjelokupne emisije, u stvarnosti ima onoliko garancija koliko ima mjesečnih anuiteta. </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Problemi u poslovanju su doveli do toga da je klijent k</w:t>
      </w:r>
      <w:r w:rsidRPr="007B3B64">
        <w:rPr>
          <w:rFonts w:asciiTheme="minorHAnsi" w:eastAsiaTheme="minorHAnsi" w:hAnsiTheme="minorHAnsi"/>
          <w:color w:val="auto"/>
          <w:sz w:val="20"/>
          <w:szCs w:val="20"/>
          <w:lang w:val="sr-Cyrl-BA" w:eastAsia="en-US"/>
        </w:rPr>
        <w:t xml:space="preserve">rajem 2023. godine prestao izmirivati obaveze po osnovu emitovanih hartija od vrijednosti. Centralni registar je </w:t>
      </w:r>
      <w:r>
        <w:rPr>
          <w:rFonts w:asciiTheme="minorHAnsi" w:eastAsiaTheme="minorHAnsi" w:hAnsiTheme="minorHAnsi"/>
          <w:color w:val="auto"/>
          <w:sz w:val="20"/>
          <w:szCs w:val="20"/>
          <w:lang w:val="sr-Cyrl-BA" w:eastAsia="en-US"/>
        </w:rPr>
        <w:t xml:space="preserve">aktivirao postojeće instrumente obezbjeđenja i </w:t>
      </w:r>
      <w:r w:rsidRPr="007B3B64">
        <w:rPr>
          <w:rFonts w:asciiTheme="minorHAnsi" w:eastAsiaTheme="minorHAnsi" w:hAnsiTheme="minorHAnsi"/>
          <w:color w:val="auto"/>
          <w:sz w:val="20"/>
          <w:szCs w:val="20"/>
          <w:lang w:val="sr-Cyrl-BA" w:eastAsia="en-US"/>
        </w:rPr>
        <w:t>izvršio protest svih 12 garancija koje su izdane kao djelimično obezbjeđenje mjesečnih</w:t>
      </w:r>
      <w:r>
        <w:rPr>
          <w:rFonts w:asciiTheme="minorHAnsi" w:eastAsiaTheme="minorHAnsi" w:hAnsiTheme="minorHAnsi"/>
          <w:color w:val="auto"/>
          <w:sz w:val="20"/>
          <w:szCs w:val="20"/>
          <w:lang w:val="sr-Cyrl-BA" w:eastAsia="en-US"/>
        </w:rPr>
        <w:t xml:space="preserve"> anuiteta u 2024. godini. Garantni fond je </w:t>
      </w:r>
      <w:r w:rsidRPr="007B3B64">
        <w:rPr>
          <w:rFonts w:asciiTheme="minorHAnsi" w:eastAsiaTheme="minorHAnsi" w:hAnsiTheme="minorHAnsi"/>
          <w:color w:val="auto"/>
          <w:sz w:val="20"/>
          <w:szCs w:val="20"/>
          <w:lang w:val="sr-Cyrl-BA" w:eastAsia="en-US"/>
        </w:rPr>
        <w:t xml:space="preserve">po ovom osnovu </w:t>
      </w:r>
      <w:r>
        <w:rPr>
          <w:rFonts w:asciiTheme="minorHAnsi" w:eastAsiaTheme="minorHAnsi" w:hAnsiTheme="minorHAnsi"/>
          <w:color w:val="auto"/>
          <w:sz w:val="20"/>
          <w:szCs w:val="20"/>
          <w:lang w:val="sr-Cyrl-BA" w:eastAsia="en-US"/>
        </w:rPr>
        <w:t>tokom 2024. godine platio iznos od  220.800,33</w:t>
      </w:r>
      <w:r w:rsidRPr="007B3B64">
        <w:rPr>
          <w:rFonts w:asciiTheme="minorHAnsi" w:eastAsiaTheme="minorHAnsi" w:hAnsiTheme="minorHAnsi"/>
          <w:color w:val="auto"/>
          <w:sz w:val="20"/>
          <w:szCs w:val="20"/>
          <w:lang w:val="sr-Cyrl-BA" w:eastAsia="en-US"/>
        </w:rPr>
        <w:t xml:space="preserve"> KM</w:t>
      </w:r>
      <w:r>
        <w:rPr>
          <w:rFonts w:asciiTheme="minorHAnsi" w:eastAsiaTheme="minorHAnsi" w:hAnsiTheme="minorHAnsi"/>
          <w:color w:val="auto"/>
          <w:sz w:val="20"/>
          <w:szCs w:val="20"/>
          <w:lang w:val="sr-Cyrl-BA" w:eastAsia="en-US"/>
        </w:rPr>
        <w:t>. Nad firmom Interlignum je pokrenut stečajni postupak u februaru 2025. godine, a Garantni fond je prijavio svoja potraživanja i čeka okončanje sudskog postupka.</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Za klijenta DI Šipovo je plaćena jedna garancija po osnovu emitovanih hartija od vrijednosti u iznosu od 6.834,28 KM, pri čemu je navedeni iznos naplaćen aktiviranjem mjenice i blokadom dužnika.</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7B3B64" w:rsidRDefault="005934B2" w:rsidP="00A401F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U okviru kreditnog portfelja su protestovane i plaćene dvije garancije, a po ovom osnovu je plaćen iznos od 56.323,90 KM u korist MF banke kao korisnika garancija.</w:t>
      </w:r>
    </w:p>
    <w:tbl>
      <w:tblPr>
        <w:tblpPr w:leftFromText="180" w:rightFromText="180" w:vertAnchor="text" w:horzAnchor="margin" w:tblpX="108" w:tblpY="103"/>
        <w:tblW w:w="8755" w:type="dxa"/>
        <w:tblLook w:val="04A0" w:firstRow="1" w:lastRow="0" w:firstColumn="1" w:lastColumn="0" w:noHBand="0" w:noVBand="1"/>
      </w:tblPr>
      <w:tblGrid>
        <w:gridCol w:w="2235"/>
        <w:gridCol w:w="2268"/>
        <w:gridCol w:w="2268"/>
        <w:gridCol w:w="1984"/>
      </w:tblGrid>
      <w:tr w:rsidR="005934B2" w:rsidRPr="003D7300" w:rsidTr="000366C5">
        <w:trPr>
          <w:trHeight w:val="570"/>
        </w:trPr>
        <w:tc>
          <w:tcPr>
            <w:tcW w:w="8755" w:type="dxa"/>
            <w:gridSpan w:val="4"/>
            <w:tcBorders>
              <w:top w:val="nil"/>
              <w:left w:val="nil"/>
              <w:bottom w:val="nil"/>
              <w:right w:val="nil"/>
            </w:tcBorders>
            <w:shd w:val="clear" w:color="000000" w:fill="FFFFFF"/>
            <w:vAlign w:val="center"/>
          </w:tcPr>
          <w:p w:rsidR="005934B2" w:rsidRPr="008B5A35" w:rsidRDefault="005934B2" w:rsidP="000366C5">
            <w:pPr>
              <w:jc w:val="left"/>
              <w:rPr>
                <w:rFonts w:asciiTheme="minorHAnsi" w:hAnsiTheme="minorHAnsi"/>
                <w:b/>
                <w:bCs/>
                <w:color w:val="000000" w:themeColor="text1"/>
                <w:sz w:val="20"/>
                <w:szCs w:val="20"/>
                <w:lang w:val="sr-Cyrl-BA" w:eastAsia="sr-Latn-RS"/>
              </w:rPr>
            </w:pPr>
          </w:p>
          <w:tbl>
            <w:tblPr>
              <w:tblW w:w="8006" w:type="dxa"/>
              <w:tblInd w:w="108" w:type="dxa"/>
              <w:tblLook w:val="04A0" w:firstRow="1" w:lastRow="0" w:firstColumn="1" w:lastColumn="0" w:noHBand="0" w:noVBand="1"/>
            </w:tblPr>
            <w:tblGrid>
              <w:gridCol w:w="8006"/>
            </w:tblGrid>
            <w:tr w:rsidR="005934B2" w:rsidRPr="008B5A35" w:rsidTr="000366C5">
              <w:trPr>
                <w:trHeight w:val="465"/>
              </w:trPr>
              <w:tc>
                <w:tcPr>
                  <w:tcW w:w="8006" w:type="dxa"/>
                  <w:tcBorders>
                    <w:top w:val="nil"/>
                    <w:left w:val="nil"/>
                    <w:bottom w:val="nil"/>
                    <w:right w:val="nil"/>
                  </w:tcBorders>
                  <w:shd w:val="clear" w:color="000000" w:fill="FFFFFF"/>
                  <w:vAlign w:val="center"/>
                  <w:hideMark/>
                </w:tcPr>
                <w:p w:rsidR="005934B2" w:rsidRPr="008B5A35" w:rsidRDefault="005934B2" w:rsidP="000472AB">
                  <w:pPr>
                    <w:framePr w:hSpace="180" w:wrap="around" w:vAnchor="text" w:hAnchor="margin" w:x="108" w:y="103"/>
                    <w:jc w:val="center"/>
                    <w:rPr>
                      <w:rFonts w:asciiTheme="minorHAnsi" w:hAnsiTheme="minorHAnsi"/>
                      <w:b/>
                      <w:bCs/>
                      <w:color w:val="000000" w:themeColor="text1"/>
                      <w:sz w:val="20"/>
                      <w:szCs w:val="20"/>
                      <w:lang w:val="sr-Cyrl-RS" w:eastAsia="sr-Latn-RS"/>
                    </w:rPr>
                  </w:pPr>
                  <w:r w:rsidRPr="008B5A35">
                    <w:rPr>
                      <w:rFonts w:asciiTheme="minorHAnsi" w:hAnsiTheme="minorHAnsi"/>
                      <w:b/>
                      <w:bCs/>
                      <w:color w:val="000000" w:themeColor="text1"/>
                      <w:sz w:val="20"/>
                      <w:szCs w:val="20"/>
                      <w:lang w:val="sr-Cyrl-RS" w:eastAsia="sr-Latn-RS"/>
                    </w:rPr>
                    <w:t xml:space="preserve">         </w:t>
                  </w:r>
                  <w:r w:rsidRPr="008B5A35">
                    <w:rPr>
                      <w:rFonts w:asciiTheme="minorHAnsi" w:hAnsiTheme="minorHAnsi"/>
                      <w:b/>
                      <w:bCs/>
                      <w:color w:val="000000" w:themeColor="text1"/>
                      <w:sz w:val="20"/>
                      <w:szCs w:val="20"/>
                      <w:lang w:val="sr-Latn-RS" w:eastAsia="sr-Latn-RS"/>
                    </w:rPr>
                    <w:t>Kumulativni pregled izdan</w:t>
                  </w:r>
                  <w:r w:rsidRPr="008B5A35">
                    <w:rPr>
                      <w:rFonts w:asciiTheme="minorHAnsi" w:hAnsiTheme="minorHAnsi"/>
                      <w:b/>
                      <w:bCs/>
                      <w:color w:val="000000" w:themeColor="text1"/>
                      <w:sz w:val="20"/>
                      <w:szCs w:val="20"/>
                      <w:lang w:val="sr-Cyrl-BA" w:eastAsia="sr-Latn-RS"/>
                    </w:rPr>
                    <w:t>i</w:t>
                  </w:r>
                  <w:r w:rsidRPr="008B5A35">
                    <w:rPr>
                      <w:rFonts w:asciiTheme="minorHAnsi" w:hAnsiTheme="minorHAnsi"/>
                      <w:b/>
                      <w:bCs/>
                      <w:color w:val="000000" w:themeColor="text1"/>
                      <w:sz w:val="20"/>
                      <w:szCs w:val="20"/>
                      <w:lang w:val="sr-Latn-RS" w:eastAsia="sr-Latn-RS"/>
                    </w:rPr>
                    <w:t xml:space="preserve">h garancija </w:t>
                  </w:r>
                  <w:r w:rsidRPr="008B5A35">
                    <w:rPr>
                      <w:rFonts w:asciiTheme="minorHAnsi" w:hAnsiTheme="minorHAnsi"/>
                      <w:b/>
                      <w:bCs/>
                      <w:color w:val="000000" w:themeColor="text1"/>
                      <w:sz w:val="20"/>
                      <w:szCs w:val="20"/>
                      <w:lang w:val="sr-Cyrl-RS" w:eastAsia="sr-Latn-RS"/>
                    </w:rPr>
                    <w:t>u</w:t>
                  </w:r>
                  <w:r w:rsidRPr="008B5A35">
                    <w:rPr>
                      <w:rFonts w:asciiTheme="minorHAnsi" w:hAnsiTheme="minorHAnsi"/>
                      <w:b/>
                      <w:bCs/>
                      <w:color w:val="000000" w:themeColor="text1"/>
                      <w:sz w:val="20"/>
                      <w:szCs w:val="20"/>
                      <w:lang w:val="sr-Latn-RS" w:eastAsia="sr-Latn-RS"/>
                    </w:rPr>
                    <w:t xml:space="preserve"> </w:t>
                  </w:r>
                  <w:r w:rsidRPr="008B5A35">
                    <w:rPr>
                      <w:rFonts w:asciiTheme="minorHAnsi" w:hAnsiTheme="minorHAnsi"/>
                      <w:b/>
                      <w:bCs/>
                      <w:color w:val="000000" w:themeColor="text1"/>
                      <w:sz w:val="20"/>
                      <w:szCs w:val="20"/>
                      <w:lang w:val="sr-Cyrl-RS" w:eastAsia="sr-Latn-RS"/>
                    </w:rPr>
                    <w:t xml:space="preserve">okviru garantnih linija u </w:t>
                  </w:r>
                  <w:r w:rsidRPr="008B5A35">
                    <w:rPr>
                      <w:rFonts w:asciiTheme="minorHAnsi" w:hAnsiTheme="minorHAnsi"/>
                      <w:b/>
                      <w:bCs/>
                      <w:color w:val="000000" w:themeColor="text1"/>
                      <w:sz w:val="20"/>
                      <w:szCs w:val="20"/>
                      <w:lang w:val="sr-Latn-RS" w:eastAsia="sr-Latn-RS"/>
                    </w:rPr>
                    <w:t>period</w:t>
                  </w:r>
                  <w:r w:rsidRPr="008B5A35">
                    <w:rPr>
                      <w:rFonts w:asciiTheme="minorHAnsi" w:hAnsiTheme="minorHAnsi"/>
                      <w:b/>
                      <w:bCs/>
                      <w:color w:val="000000" w:themeColor="text1"/>
                      <w:sz w:val="20"/>
                      <w:szCs w:val="20"/>
                      <w:lang w:val="sr-Cyrl-RS" w:eastAsia="sr-Latn-RS"/>
                    </w:rPr>
                    <w:t>u</w:t>
                  </w:r>
                  <w:r w:rsidRPr="008B5A35">
                    <w:rPr>
                      <w:rFonts w:asciiTheme="minorHAnsi" w:hAnsiTheme="minorHAnsi"/>
                      <w:b/>
                      <w:bCs/>
                      <w:color w:val="000000" w:themeColor="text1"/>
                      <w:sz w:val="20"/>
                      <w:szCs w:val="20"/>
                      <w:lang w:val="sr-Latn-RS" w:eastAsia="sr-Latn-RS"/>
                    </w:rPr>
                    <w:t xml:space="preserve"> </w:t>
                  </w:r>
                </w:p>
                <w:p w:rsidR="005934B2" w:rsidRPr="008B5A35" w:rsidRDefault="005934B2" w:rsidP="000472AB">
                  <w:pPr>
                    <w:framePr w:hSpace="180" w:wrap="around" w:vAnchor="text" w:hAnchor="margin" w:x="108" w:y="103"/>
                    <w:jc w:val="center"/>
                    <w:rPr>
                      <w:rFonts w:asciiTheme="minorHAnsi" w:hAnsiTheme="minorHAnsi"/>
                      <w:b/>
                      <w:bCs/>
                      <w:color w:val="000000" w:themeColor="text1"/>
                      <w:sz w:val="20"/>
                      <w:szCs w:val="20"/>
                      <w:lang w:val="sr-Latn-RS" w:eastAsia="sr-Latn-RS"/>
                    </w:rPr>
                  </w:pPr>
                  <w:r w:rsidRPr="008B5A35">
                    <w:rPr>
                      <w:rFonts w:asciiTheme="minorHAnsi" w:hAnsiTheme="minorHAnsi"/>
                      <w:b/>
                      <w:bCs/>
                      <w:color w:val="000000" w:themeColor="text1"/>
                      <w:sz w:val="20"/>
                      <w:szCs w:val="20"/>
                      <w:lang w:val="sr-Latn-RS" w:eastAsia="sr-Latn-RS"/>
                    </w:rPr>
                    <w:t>201</w:t>
                  </w:r>
                  <w:r w:rsidRPr="008B5A35">
                    <w:rPr>
                      <w:rFonts w:asciiTheme="minorHAnsi" w:hAnsiTheme="minorHAnsi"/>
                      <w:b/>
                      <w:bCs/>
                      <w:color w:val="000000" w:themeColor="text1"/>
                      <w:sz w:val="20"/>
                      <w:szCs w:val="20"/>
                      <w:lang w:val="sr-Cyrl-RS" w:eastAsia="sr-Latn-RS"/>
                    </w:rPr>
                    <w:t>1</w:t>
                  </w:r>
                  <w:r w:rsidRPr="008B5A35">
                    <w:rPr>
                      <w:rFonts w:asciiTheme="minorHAnsi" w:hAnsiTheme="minorHAnsi"/>
                      <w:b/>
                      <w:bCs/>
                      <w:color w:val="000000" w:themeColor="text1"/>
                      <w:sz w:val="20"/>
                      <w:szCs w:val="20"/>
                      <w:lang w:val="sr-Latn-RS" w:eastAsia="sr-Latn-RS"/>
                    </w:rPr>
                    <w:t>. - 202</w:t>
                  </w:r>
                  <w:r w:rsidRPr="008B5A35">
                    <w:rPr>
                      <w:rFonts w:asciiTheme="minorHAnsi" w:hAnsiTheme="minorHAnsi"/>
                      <w:b/>
                      <w:bCs/>
                      <w:color w:val="000000" w:themeColor="text1"/>
                      <w:sz w:val="20"/>
                      <w:szCs w:val="20"/>
                      <w:lang w:eastAsia="sr-Latn-RS"/>
                    </w:rPr>
                    <w:t>4</w:t>
                  </w:r>
                  <w:r w:rsidRPr="008B5A35">
                    <w:rPr>
                      <w:rFonts w:asciiTheme="minorHAnsi" w:hAnsiTheme="minorHAnsi"/>
                      <w:b/>
                      <w:bCs/>
                      <w:color w:val="000000" w:themeColor="text1"/>
                      <w:sz w:val="20"/>
                      <w:szCs w:val="20"/>
                      <w:lang w:val="sr-Latn-RS" w:eastAsia="sr-Latn-RS"/>
                    </w:rPr>
                    <w:t>. godina</w:t>
                  </w:r>
                </w:p>
              </w:tc>
            </w:tr>
          </w:tbl>
          <w:p w:rsidR="005934B2" w:rsidRPr="008B5A35" w:rsidRDefault="005934B2" w:rsidP="000366C5">
            <w:pPr>
              <w:jc w:val="left"/>
              <w:rPr>
                <w:rFonts w:asciiTheme="minorHAnsi" w:hAnsiTheme="minorHAnsi"/>
                <w:b/>
                <w:bCs/>
                <w:color w:val="000000" w:themeColor="text1"/>
                <w:sz w:val="20"/>
                <w:szCs w:val="20"/>
                <w:lang w:val="sr-Cyrl-BA" w:eastAsia="sr-Latn-RS"/>
              </w:rPr>
            </w:pPr>
          </w:p>
        </w:tc>
      </w:tr>
      <w:tr w:rsidR="005934B2" w:rsidRPr="003D7300" w:rsidTr="000366C5">
        <w:trPr>
          <w:trHeight w:val="267"/>
        </w:trPr>
        <w:tc>
          <w:tcPr>
            <w:tcW w:w="8755" w:type="dxa"/>
            <w:gridSpan w:val="4"/>
            <w:tcBorders>
              <w:top w:val="nil"/>
              <w:left w:val="nil"/>
              <w:bottom w:val="nil"/>
              <w:right w:val="nil"/>
            </w:tcBorders>
            <w:shd w:val="clear" w:color="000000" w:fill="FFFFFF"/>
            <w:vAlign w:val="center"/>
          </w:tcPr>
          <w:p w:rsidR="005934B2" w:rsidRDefault="005934B2" w:rsidP="000366C5">
            <w:pPr>
              <w:jc w:val="right"/>
              <w:rPr>
                <w:rFonts w:asciiTheme="minorHAnsi" w:hAnsiTheme="minorHAnsi"/>
                <w:b/>
                <w:bCs/>
                <w:color w:val="000000" w:themeColor="text1"/>
                <w:sz w:val="20"/>
                <w:szCs w:val="20"/>
                <w:lang w:val="sr-Cyrl-BA" w:eastAsia="sr-Latn-RS"/>
              </w:rPr>
            </w:pPr>
          </w:p>
          <w:p w:rsidR="005934B2" w:rsidRPr="008B5A35" w:rsidRDefault="005934B2" w:rsidP="000366C5">
            <w:pPr>
              <w:jc w:val="right"/>
              <w:rPr>
                <w:rFonts w:asciiTheme="minorHAnsi" w:hAnsiTheme="minorHAnsi"/>
                <w:b/>
                <w:bCs/>
                <w:color w:val="000000" w:themeColor="text1"/>
                <w:sz w:val="20"/>
                <w:szCs w:val="20"/>
                <w:lang w:val="sr-Cyrl-BA" w:eastAsia="sr-Latn-RS"/>
              </w:rPr>
            </w:pPr>
            <w:r w:rsidRPr="008B5A35">
              <w:rPr>
                <w:rFonts w:asciiTheme="minorHAnsi" w:hAnsiTheme="minorHAnsi"/>
                <w:b/>
                <w:bCs/>
                <w:color w:val="000000" w:themeColor="text1"/>
                <w:sz w:val="20"/>
                <w:szCs w:val="20"/>
                <w:lang w:val="sr-Cyrl-BA" w:eastAsia="sr-Latn-RS"/>
              </w:rPr>
              <w:t xml:space="preserve">Tabela </w:t>
            </w:r>
            <w:r>
              <w:rPr>
                <w:rFonts w:asciiTheme="minorHAnsi" w:hAnsiTheme="minorHAnsi"/>
                <w:b/>
                <w:bCs/>
                <w:color w:val="000000" w:themeColor="text1"/>
                <w:sz w:val="20"/>
                <w:szCs w:val="20"/>
                <w:lang w:val="sr-Cyrl-BA" w:eastAsia="sr-Latn-RS"/>
              </w:rPr>
              <w:t>3</w:t>
            </w:r>
          </w:p>
        </w:tc>
      </w:tr>
      <w:tr w:rsidR="005934B2" w:rsidRPr="003D7300" w:rsidTr="000366C5">
        <w:trPr>
          <w:trHeight w:val="377"/>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934B2" w:rsidRPr="008B5A35" w:rsidRDefault="005934B2" w:rsidP="000366C5">
            <w:pPr>
              <w:jc w:val="center"/>
              <w:rPr>
                <w:rFonts w:asciiTheme="minorHAnsi" w:hAnsiTheme="minorHAnsi"/>
                <w:b/>
                <w:color w:val="000000" w:themeColor="text1"/>
                <w:sz w:val="20"/>
                <w:szCs w:val="20"/>
              </w:rPr>
            </w:pPr>
            <w:r w:rsidRPr="008B5A35">
              <w:rPr>
                <w:rFonts w:asciiTheme="minorHAnsi" w:hAnsiTheme="minorHAnsi"/>
                <w:b/>
                <w:color w:val="000000" w:themeColor="text1"/>
                <w:sz w:val="20"/>
                <w:szCs w:val="20"/>
                <w:lang w:val="sr-Latn-RS" w:eastAsia="sr-Latn-RS"/>
              </w:rPr>
              <w:t>Godina</w:t>
            </w:r>
          </w:p>
          <w:p w:rsidR="005934B2" w:rsidRPr="008B5A35" w:rsidRDefault="005934B2" w:rsidP="000366C5">
            <w:pPr>
              <w:jc w:val="center"/>
              <w:rPr>
                <w:rFonts w:asciiTheme="minorHAnsi" w:hAnsiTheme="minorHAnsi"/>
                <w:b/>
                <w:color w:val="000000" w:themeColor="text1"/>
                <w:sz w:val="20"/>
                <w:szCs w:val="20"/>
                <w:lang w:val="sr-Latn-RS" w:eastAsia="sr-Latn-RS"/>
              </w:rPr>
            </w:pP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934B2" w:rsidRPr="008B5A35" w:rsidRDefault="005934B2" w:rsidP="000366C5">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Broj</w:t>
            </w:r>
          </w:p>
          <w:p w:rsidR="005934B2" w:rsidRPr="008B5A35" w:rsidRDefault="005934B2" w:rsidP="000366C5">
            <w:pPr>
              <w:jc w:val="center"/>
              <w:rPr>
                <w:rFonts w:asciiTheme="minorHAnsi" w:hAnsiTheme="minorHAnsi"/>
                <w:b/>
                <w:color w:val="000000" w:themeColor="text1"/>
                <w:sz w:val="20"/>
                <w:szCs w:val="20"/>
                <w:lang w:val="sr-Cyrl-RS"/>
              </w:rPr>
            </w:pPr>
            <w:r w:rsidRPr="008B5A35">
              <w:rPr>
                <w:rFonts w:asciiTheme="minorHAnsi" w:hAnsiTheme="minorHAnsi"/>
                <w:b/>
                <w:color w:val="000000" w:themeColor="text1"/>
                <w:sz w:val="20"/>
                <w:szCs w:val="20"/>
                <w:lang w:val="sr-Cyrl-BA" w:eastAsia="sr-Latn-RS"/>
              </w:rPr>
              <w:t>garancija</w:t>
            </w:r>
          </w:p>
        </w:tc>
        <w:tc>
          <w:tcPr>
            <w:tcW w:w="2268"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934B2" w:rsidRPr="008B5A35" w:rsidRDefault="005934B2" w:rsidP="000366C5">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Iznos kredita</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934B2" w:rsidRPr="008B5A35" w:rsidRDefault="005934B2" w:rsidP="000366C5">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Iznos garancija</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4</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5.854.000,00</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1.450.000,00</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2012</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17</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6.307.945,87</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2.872.972,94</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2013</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18</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15.156.463,45</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4.546.431,84</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2014</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32</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36.457.404,56</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9.108.346,44</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2015</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12</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8.380.980,00</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3.122.990,00</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2016</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3.587.398,07</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1.634.321,99</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2017</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15</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5.694.749,40</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2.473.763,48</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2018</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28</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7.142.900,00</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2.757.978,00</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2019</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8</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6.084.461,10</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2.040.914,27</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2020</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38</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22.486.800,00</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10.791.400,00</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2021</w:t>
            </w:r>
          </w:p>
        </w:tc>
        <w:tc>
          <w:tcPr>
            <w:tcW w:w="2268" w:type="dxa"/>
            <w:tcBorders>
              <w:top w:val="nil"/>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46</w:t>
            </w:r>
          </w:p>
        </w:tc>
        <w:tc>
          <w:tcPr>
            <w:tcW w:w="2268"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24.375.144,64</w:t>
            </w:r>
          </w:p>
        </w:tc>
        <w:tc>
          <w:tcPr>
            <w:tcW w:w="1984" w:type="dxa"/>
            <w:tcBorders>
              <w:top w:val="nil"/>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10.795.782,32</w:t>
            </w:r>
          </w:p>
        </w:tc>
      </w:tr>
      <w:tr w:rsidR="005934B2" w:rsidRPr="003D7300" w:rsidTr="000366C5">
        <w:trPr>
          <w:trHeight w:val="228"/>
        </w:trPr>
        <w:tc>
          <w:tcPr>
            <w:tcW w:w="22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2022</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934B2" w:rsidRPr="008B5A35" w:rsidRDefault="005934B2" w:rsidP="000366C5">
            <w:pPr>
              <w:jc w:val="center"/>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23</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16.933.109,22</w:t>
            </w:r>
          </w:p>
        </w:tc>
        <w:tc>
          <w:tcPr>
            <w:tcW w:w="1984" w:type="dxa"/>
            <w:tcBorders>
              <w:top w:val="single" w:sz="4" w:space="0" w:color="auto"/>
              <w:left w:val="nil"/>
              <w:bottom w:val="single" w:sz="4" w:space="0" w:color="auto"/>
              <w:right w:val="single" w:sz="4" w:space="0" w:color="auto"/>
            </w:tcBorders>
            <w:shd w:val="clear" w:color="000000" w:fill="FFFFFF"/>
            <w:vAlign w:val="center"/>
            <w:hideMark/>
          </w:tcPr>
          <w:p w:rsidR="005934B2" w:rsidRPr="008B5A35" w:rsidRDefault="005934B2" w:rsidP="000366C5">
            <w:pPr>
              <w:jc w:val="right"/>
              <w:rPr>
                <w:rFonts w:asciiTheme="minorHAnsi" w:hAnsiTheme="minorHAnsi"/>
                <w:color w:val="000000" w:themeColor="text1"/>
                <w:sz w:val="20"/>
                <w:szCs w:val="20"/>
                <w:lang w:val="sr-Latn-RS" w:eastAsia="sr-Latn-RS"/>
              </w:rPr>
            </w:pPr>
            <w:r w:rsidRPr="008B5A35">
              <w:rPr>
                <w:rFonts w:asciiTheme="minorHAnsi" w:hAnsiTheme="minorHAnsi"/>
                <w:color w:val="000000" w:themeColor="text1"/>
                <w:sz w:val="20"/>
                <w:szCs w:val="20"/>
                <w:lang w:val="sr-Latn-RS" w:eastAsia="sr-Latn-RS"/>
              </w:rPr>
              <w:t>7.965.795,16</w:t>
            </w:r>
          </w:p>
        </w:tc>
      </w:tr>
      <w:tr w:rsidR="005934B2" w:rsidRPr="003D7300" w:rsidTr="000366C5">
        <w:trPr>
          <w:trHeight w:val="285"/>
        </w:trPr>
        <w:tc>
          <w:tcPr>
            <w:tcW w:w="2235" w:type="dxa"/>
            <w:tcBorders>
              <w:top w:val="single" w:sz="4" w:space="0" w:color="auto"/>
              <w:left w:val="single" w:sz="4" w:space="0" w:color="auto"/>
              <w:bottom w:val="single" w:sz="4" w:space="0" w:color="auto"/>
              <w:right w:val="single" w:sz="4" w:space="0" w:color="auto"/>
            </w:tcBorders>
            <w:shd w:val="clear" w:color="000000" w:fill="F0F0F0"/>
            <w:vAlign w:val="center"/>
          </w:tcPr>
          <w:p w:rsidR="005934B2" w:rsidRPr="008B5A35" w:rsidRDefault="005934B2" w:rsidP="000366C5">
            <w:pPr>
              <w:jc w:val="center"/>
              <w:rPr>
                <w:rFonts w:asciiTheme="minorHAnsi" w:hAnsiTheme="minorHAnsi"/>
                <w:color w:val="000000" w:themeColor="text1"/>
                <w:sz w:val="20"/>
                <w:szCs w:val="20"/>
                <w:lang w:val="sr-Cyrl-BA" w:eastAsia="sr-Latn-RS"/>
              </w:rPr>
            </w:pPr>
            <w:r w:rsidRPr="008B5A35">
              <w:rPr>
                <w:rFonts w:asciiTheme="minorHAnsi" w:hAnsiTheme="minorHAnsi"/>
                <w:color w:val="000000" w:themeColor="text1"/>
                <w:sz w:val="20"/>
                <w:szCs w:val="20"/>
                <w:lang w:val="sr-Cyrl-BA" w:eastAsia="sr-Latn-RS"/>
              </w:rPr>
              <w:t>2023</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rsidR="005934B2" w:rsidRPr="008B5A35" w:rsidRDefault="005934B2" w:rsidP="000366C5">
            <w:pPr>
              <w:jc w:val="center"/>
              <w:rPr>
                <w:rFonts w:asciiTheme="minorHAnsi" w:hAnsiTheme="minorHAnsi"/>
                <w:color w:val="000000" w:themeColor="text1"/>
                <w:sz w:val="20"/>
                <w:szCs w:val="20"/>
                <w:lang w:val="sr-Cyrl-RS" w:eastAsia="sr-Latn-RS"/>
              </w:rPr>
            </w:pPr>
            <w:r w:rsidRPr="008B5A35">
              <w:rPr>
                <w:rFonts w:asciiTheme="minorHAnsi" w:hAnsiTheme="minorHAnsi"/>
                <w:color w:val="000000" w:themeColor="text1"/>
                <w:sz w:val="20"/>
                <w:szCs w:val="20"/>
                <w:lang w:val="sr-Cyrl-RS" w:eastAsia="sr-Latn-RS"/>
              </w:rPr>
              <w:t>8</w:t>
            </w:r>
          </w:p>
        </w:tc>
        <w:tc>
          <w:tcPr>
            <w:tcW w:w="2268" w:type="dxa"/>
            <w:tcBorders>
              <w:top w:val="single" w:sz="4" w:space="0" w:color="auto"/>
              <w:left w:val="single" w:sz="4" w:space="0" w:color="auto"/>
              <w:bottom w:val="single" w:sz="4" w:space="0" w:color="auto"/>
              <w:right w:val="single" w:sz="4" w:space="0" w:color="auto"/>
            </w:tcBorders>
            <w:shd w:val="clear" w:color="000000" w:fill="F0F0F0"/>
            <w:vAlign w:val="center"/>
          </w:tcPr>
          <w:p w:rsidR="005934B2" w:rsidRPr="008B5A35" w:rsidRDefault="005934B2" w:rsidP="000366C5">
            <w:pPr>
              <w:jc w:val="right"/>
              <w:rPr>
                <w:rFonts w:asciiTheme="minorHAnsi" w:hAnsiTheme="minorHAnsi"/>
                <w:color w:val="000000" w:themeColor="text1"/>
                <w:sz w:val="20"/>
                <w:szCs w:val="20"/>
                <w:lang w:val="sr-Cyrl-RS" w:eastAsia="sr-Latn-RS"/>
              </w:rPr>
            </w:pPr>
            <w:r w:rsidRPr="008B5A35">
              <w:rPr>
                <w:rFonts w:asciiTheme="minorHAnsi" w:hAnsiTheme="minorHAnsi"/>
                <w:color w:val="000000" w:themeColor="text1"/>
                <w:sz w:val="20"/>
                <w:szCs w:val="20"/>
                <w:lang w:val="sr-Cyrl-RS" w:eastAsia="sr-Latn-RS"/>
              </w:rPr>
              <w:t>25.760.000,00</w:t>
            </w:r>
          </w:p>
        </w:tc>
        <w:tc>
          <w:tcPr>
            <w:tcW w:w="1984" w:type="dxa"/>
            <w:tcBorders>
              <w:top w:val="single" w:sz="4" w:space="0" w:color="auto"/>
              <w:left w:val="single" w:sz="4" w:space="0" w:color="auto"/>
              <w:bottom w:val="single" w:sz="4" w:space="0" w:color="auto"/>
              <w:right w:val="single" w:sz="4" w:space="0" w:color="auto"/>
            </w:tcBorders>
            <w:shd w:val="clear" w:color="000000" w:fill="F0F0F0"/>
            <w:vAlign w:val="center"/>
          </w:tcPr>
          <w:p w:rsidR="005934B2" w:rsidRPr="008B5A35" w:rsidRDefault="005934B2" w:rsidP="000366C5">
            <w:pPr>
              <w:jc w:val="right"/>
              <w:rPr>
                <w:rFonts w:asciiTheme="minorHAnsi" w:hAnsiTheme="minorHAnsi"/>
                <w:color w:val="000000" w:themeColor="text1"/>
                <w:sz w:val="20"/>
                <w:szCs w:val="20"/>
                <w:lang w:val="sr-Cyrl-RS" w:eastAsia="sr-Latn-RS"/>
              </w:rPr>
            </w:pPr>
            <w:r w:rsidRPr="008B5A35">
              <w:rPr>
                <w:rFonts w:asciiTheme="minorHAnsi" w:hAnsiTheme="minorHAnsi"/>
                <w:color w:val="000000" w:themeColor="text1"/>
                <w:sz w:val="20"/>
                <w:szCs w:val="20"/>
                <w:lang w:val="sr-Cyrl-RS" w:eastAsia="sr-Latn-RS"/>
              </w:rPr>
              <w:t>5.470.260,00</w:t>
            </w:r>
          </w:p>
        </w:tc>
      </w:tr>
      <w:tr w:rsidR="005934B2" w:rsidRPr="003D7300" w:rsidTr="000366C5">
        <w:trPr>
          <w:trHeight w:val="285"/>
        </w:trPr>
        <w:tc>
          <w:tcPr>
            <w:tcW w:w="2235"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8B5A35" w:rsidRDefault="005934B2" w:rsidP="000366C5">
            <w:pPr>
              <w:jc w:val="center"/>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2024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8B5A35" w:rsidRDefault="005934B2" w:rsidP="000366C5">
            <w:pPr>
              <w:jc w:val="center"/>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8B5A35" w:rsidRDefault="005934B2" w:rsidP="000366C5">
            <w:pPr>
              <w:jc w:val="right"/>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300.000,00</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8B5A35" w:rsidRDefault="005934B2" w:rsidP="000366C5">
            <w:pPr>
              <w:jc w:val="right"/>
              <w:rPr>
                <w:rFonts w:asciiTheme="minorHAnsi" w:hAnsiTheme="minorHAnsi"/>
                <w:color w:val="000000" w:themeColor="text1"/>
                <w:sz w:val="20"/>
                <w:szCs w:val="20"/>
                <w:lang w:eastAsia="sr-Latn-RS"/>
              </w:rPr>
            </w:pPr>
            <w:r w:rsidRPr="008B5A35">
              <w:rPr>
                <w:rFonts w:asciiTheme="minorHAnsi" w:hAnsiTheme="minorHAnsi"/>
                <w:color w:val="000000" w:themeColor="text1"/>
                <w:sz w:val="20"/>
                <w:szCs w:val="20"/>
                <w:lang w:eastAsia="sr-Latn-RS"/>
              </w:rPr>
              <w:t>150.000,00</w:t>
            </w:r>
          </w:p>
        </w:tc>
      </w:tr>
      <w:tr w:rsidR="005934B2" w:rsidRPr="003D7300" w:rsidTr="000366C5">
        <w:trPr>
          <w:trHeight w:val="285"/>
        </w:trPr>
        <w:tc>
          <w:tcPr>
            <w:tcW w:w="223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5934B2" w:rsidRPr="008B5A35" w:rsidRDefault="005934B2" w:rsidP="000366C5">
            <w:pPr>
              <w:jc w:val="center"/>
              <w:rPr>
                <w:rFonts w:asciiTheme="minorHAnsi" w:hAnsiTheme="minorHAnsi"/>
                <w:b/>
                <w:color w:val="000000" w:themeColor="text1"/>
                <w:sz w:val="20"/>
                <w:szCs w:val="20"/>
                <w:lang w:val="sr-Cyrl-BA" w:eastAsia="sr-Latn-RS"/>
              </w:rPr>
            </w:pPr>
            <w:r w:rsidRPr="008B5A35">
              <w:rPr>
                <w:rFonts w:asciiTheme="minorHAnsi" w:hAnsiTheme="minorHAnsi"/>
                <w:b/>
                <w:color w:val="000000" w:themeColor="text1"/>
                <w:sz w:val="20"/>
                <w:szCs w:val="20"/>
                <w:lang w:val="sr-Cyrl-BA" w:eastAsia="sr-Latn-RS"/>
              </w:rPr>
              <w:t>UKUPNO</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934B2" w:rsidRPr="008B5A35" w:rsidRDefault="005934B2" w:rsidP="000366C5">
            <w:pPr>
              <w:jc w:val="center"/>
              <w:rPr>
                <w:rFonts w:asciiTheme="minorHAnsi" w:hAnsiTheme="minorHAnsi"/>
                <w:b/>
                <w:color w:val="000000" w:themeColor="text1"/>
                <w:sz w:val="20"/>
                <w:szCs w:val="20"/>
                <w:lang w:eastAsia="sr-Latn-RS"/>
              </w:rPr>
            </w:pPr>
            <w:r w:rsidRPr="008B5A35">
              <w:rPr>
                <w:rFonts w:asciiTheme="minorHAnsi" w:hAnsiTheme="minorHAnsi"/>
                <w:b/>
                <w:color w:val="000000" w:themeColor="text1"/>
                <w:sz w:val="20"/>
                <w:szCs w:val="20"/>
                <w:lang w:val="sr-Cyrl-RS" w:eastAsia="sr-Latn-RS"/>
              </w:rPr>
              <w:t>25</w:t>
            </w:r>
            <w:r w:rsidRPr="008B5A35">
              <w:rPr>
                <w:rFonts w:asciiTheme="minorHAnsi" w:hAnsiTheme="minorHAnsi"/>
                <w:b/>
                <w:color w:val="000000" w:themeColor="text1"/>
                <w:sz w:val="20"/>
                <w:szCs w:val="20"/>
                <w:lang w:eastAsia="sr-Latn-RS"/>
              </w:rPr>
              <w:t>8</w:t>
            </w:r>
          </w:p>
        </w:tc>
        <w:tc>
          <w:tcPr>
            <w:tcW w:w="226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934B2" w:rsidRPr="008B5A35" w:rsidRDefault="005934B2" w:rsidP="000366C5">
            <w:pPr>
              <w:jc w:val="right"/>
              <w:rPr>
                <w:rFonts w:asciiTheme="minorHAnsi" w:hAnsiTheme="minorHAnsi"/>
                <w:b/>
                <w:color w:val="000000" w:themeColor="text1"/>
                <w:sz w:val="20"/>
                <w:szCs w:val="20"/>
                <w:lang w:val="sr-Latn-RS" w:eastAsia="sr-Latn-RS"/>
              </w:rPr>
            </w:pPr>
            <w:r w:rsidRPr="008B5A35">
              <w:rPr>
                <w:rFonts w:asciiTheme="minorHAnsi" w:hAnsiTheme="minorHAnsi"/>
                <w:b/>
                <w:color w:val="000000" w:themeColor="text1"/>
                <w:sz w:val="20"/>
                <w:szCs w:val="20"/>
                <w:lang w:val="sr-Cyrl-RS" w:eastAsia="sr-Latn-RS"/>
              </w:rPr>
              <w:t>184.</w:t>
            </w:r>
            <w:r w:rsidRPr="008B5A35">
              <w:rPr>
                <w:rFonts w:asciiTheme="minorHAnsi" w:hAnsiTheme="minorHAnsi"/>
                <w:b/>
                <w:color w:val="000000" w:themeColor="text1"/>
                <w:sz w:val="20"/>
                <w:szCs w:val="20"/>
                <w:lang w:eastAsia="sr-Latn-RS"/>
              </w:rPr>
              <w:t>5</w:t>
            </w:r>
            <w:r w:rsidRPr="008B5A35">
              <w:rPr>
                <w:rFonts w:asciiTheme="minorHAnsi" w:hAnsiTheme="minorHAnsi"/>
                <w:b/>
                <w:color w:val="000000" w:themeColor="text1"/>
                <w:sz w:val="20"/>
                <w:szCs w:val="20"/>
                <w:lang w:val="sr-Cyrl-RS" w:eastAsia="sr-Latn-RS"/>
              </w:rPr>
              <w:t>21</w:t>
            </w:r>
            <w:r w:rsidRPr="008B5A35">
              <w:rPr>
                <w:rFonts w:asciiTheme="minorHAnsi" w:hAnsiTheme="minorHAnsi"/>
                <w:b/>
                <w:color w:val="000000" w:themeColor="text1"/>
                <w:sz w:val="20"/>
                <w:szCs w:val="20"/>
                <w:lang w:val="sr-Latn-RS" w:eastAsia="sr-Latn-RS"/>
              </w:rPr>
              <w:t>.356,31</w:t>
            </w:r>
          </w:p>
        </w:tc>
        <w:tc>
          <w:tcPr>
            <w:tcW w:w="198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934B2" w:rsidRPr="008B5A35" w:rsidRDefault="005934B2" w:rsidP="000366C5">
            <w:pPr>
              <w:jc w:val="right"/>
              <w:rPr>
                <w:rFonts w:asciiTheme="minorHAnsi" w:hAnsiTheme="minorHAnsi"/>
                <w:b/>
                <w:color w:val="000000" w:themeColor="text1"/>
                <w:sz w:val="20"/>
                <w:szCs w:val="20"/>
                <w:lang w:val="sr-Latn-RS" w:eastAsia="sr-Latn-RS"/>
              </w:rPr>
            </w:pPr>
            <w:r w:rsidRPr="008B5A35">
              <w:rPr>
                <w:rFonts w:asciiTheme="minorHAnsi" w:hAnsiTheme="minorHAnsi"/>
                <w:b/>
                <w:color w:val="000000" w:themeColor="text1"/>
                <w:sz w:val="20"/>
                <w:szCs w:val="20"/>
                <w:lang w:val="sr-Cyrl-RS" w:eastAsia="sr-Latn-RS"/>
              </w:rPr>
              <w:t>65.</w:t>
            </w:r>
            <w:r w:rsidRPr="008B5A35">
              <w:rPr>
                <w:rFonts w:asciiTheme="minorHAnsi" w:hAnsiTheme="minorHAnsi"/>
                <w:b/>
                <w:color w:val="000000" w:themeColor="text1"/>
                <w:sz w:val="20"/>
                <w:szCs w:val="20"/>
                <w:lang w:eastAsia="sr-Latn-RS"/>
              </w:rPr>
              <w:t>18</w:t>
            </w:r>
            <w:r w:rsidRPr="008B5A35">
              <w:rPr>
                <w:rFonts w:asciiTheme="minorHAnsi" w:hAnsiTheme="minorHAnsi"/>
                <w:b/>
                <w:color w:val="000000" w:themeColor="text1"/>
                <w:sz w:val="20"/>
                <w:szCs w:val="20"/>
                <w:lang w:val="sr-Cyrl-RS" w:eastAsia="sr-Latn-RS"/>
              </w:rPr>
              <w:t>0</w:t>
            </w:r>
            <w:r w:rsidRPr="008B5A35">
              <w:rPr>
                <w:rFonts w:asciiTheme="minorHAnsi" w:hAnsiTheme="minorHAnsi"/>
                <w:b/>
                <w:color w:val="000000" w:themeColor="text1"/>
                <w:sz w:val="20"/>
                <w:szCs w:val="20"/>
                <w:lang w:val="sr-Latn-RS" w:eastAsia="sr-Latn-RS"/>
              </w:rPr>
              <w:t>.</w:t>
            </w:r>
            <w:r w:rsidRPr="008B5A35">
              <w:rPr>
                <w:rFonts w:asciiTheme="minorHAnsi" w:hAnsiTheme="minorHAnsi"/>
                <w:b/>
                <w:color w:val="000000" w:themeColor="text1"/>
                <w:sz w:val="20"/>
                <w:szCs w:val="20"/>
                <w:lang w:val="sr-Cyrl-RS" w:eastAsia="sr-Latn-RS"/>
              </w:rPr>
              <w:t>956</w:t>
            </w:r>
            <w:r w:rsidRPr="008B5A35">
              <w:rPr>
                <w:rFonts w:asciiTheme="minorHAnsi" w:hAnsiTheme="minorHAnsi"/>
                <w:b/>
                <w:color w:val="000000" w:themeColor="text1"/>
                <w:sz w:val="20"/>
                <w:szCs w:val="20"/>
                <w:lang w:val="sr-Latn-RS" w:eastAsia="sr-Latn-RS"/>
              </w:rPr>
              <w:t>,44</w:t>
            </w:r>
          </w:p>
        </w:tc>
      </w:tr>
    </w:tbl>
    <w:p w:rsidR="005934B2" w:rsidRPr="003D7300" w:rsidRDefault="005934B2" w:rsidP="00A401F8">
      <w:pPr>
        <w:pStyle w:val="Default"/>
        <w:jc w:val="both"/>
        <w:rPr>
          <w:rFonts w:asciiTheme="minorHAnsi" w:hAnsiTheme="minorHAnsi"/>
          <w:color w:val="FF0000"/>
          <w:sz w:val="20"/>
          <w:szCs w:val="20"/>
          <w:lang w:val="sr-Cyrl-BA"/>
        </w:rPr>
      </w:pPr>
    </w:p>
    <w:p w:rsidR="005934B2" w:rsidRDefault="005934B2" w:rsidP="00A401F8">
      <w:pPr>
        <w:pStyle w:val="Default"/>
        <w:jc w:val="both"/>
        <w:rPr>
          <w:rFonts w:asciiTheme="minorHAnsi" w:hAnsiTheme="minorHAnsi"/>
          <w:color w:val="000000" w:themeColor="text1"/>
          <w:sz w:val="20"/>
          <w:szCs w:val="20"/>
          <w:lang w:val="sr-Cyrl-BA"/>
        </w:rPr>
      </w:pPr>
      <w:r w:rsidRPr="008B5A35">
        <w:rPr>
          <w:rFonts w:asciiTheme="minorHAnsi" w:hAnsiTheme="minorHAnsi"/>
          <w:color w:val="000000" w:themeColor="text1"/>
          <w:sz w:val="20"/>
          <w:szCs w:val="20"/>
          <w:lang w:val="sr-Cyrl-BA"/>
        </w:rPr>
        <w:t>Od početka rada Garantnog fonda u 2011. godini do kraja 202</w:t>
      </w:r>
      <w:r w:rsidRPr="008B5A35">
        <w:rPr>
          <w:rFonts w:asciiTheme="minorHAnsi" w:hAnsiTheme="minorHAnsi"/>
          <w:color w:val="000000" w:themeColor="text1"/>
          <w:sz w:val="20"/>
          <w:szCs w:val="20"/>
        </w:rPr>
        <w:t>4</w:t>
      </w:r>
      <w:r w:rsidRPr="008B5A35">
        <w:rPr>
          <w:rFonts w:asciiTheme="minorHAnsi" w:hAnsiTheme="minorHAnsi"/>
          <w:color w:val="000000" w:themeColor="text1"/>
          <w:sz w:val="20"/>
          <w:szCs w:val="20"/>
          <w:lang w:val="sr-Cyrl-BA"/>
        </w:rPr>
        <w:t>. godine, ukupno je izdano 25</w:t>
      </w:r>
      <w:r w:rsidRPr="008B5A35">
        <w:rPr>
          <w:rFonts w:asciiTheme="minorHAnsi" w:hAnsiTheme="minorHAnsi"/>
          <w:color w:val="000000" w:themeColor="text1"/>
          <w:sz w:val="20"/>
          <w:szCs w:val="20"/>
        </w:rPr>
        <w:t>8</w:t>
      </w:r>
      <w:r w:rsidRPr="008B5A35">
        <w:rPr>
          <w:rFonts w:asciiTheme="minorHAnsi" w:hAnsiTheme="minorHAnsi"/>
          <w:color w:val="000000" w:themeColor="text1"/>
          <w:sz w:val="20"/>
          <w:szCs w:val="20"/>
          <w:lang w:val="sr-Cyrl-BA"/>
        </w:rPr>
        <w:t xml:space="preserve"> garancija u </w:t>
      </w:r>
      <w:r>
        <w:rPr>
          <w:rFonts w:asciiTheme="minorHAnsi" w:hAnsiTheme="minorHAnsi"/>
          <w:color w:val="000000" w:themeColor="text1"/>
          <w:sz w:val="20"/>
          <w:szCs w:val="20"/>
          <w:lang w:val="sr-Cyrl-BA"/>
        </w:rPr>
        <w:t xml:space="preserve">okviru garanntih linija u </w:t>
      </w:r>
      <w:r w:rsidRPr="008B5A35">
        <w:rPr>
          <w:rFonts w:asciiTheme="minorHAnsi" w:hAnsiTheme="minorHAnsi"/>
          <w:color w:val="000000" w:themeColor="text1"/>
          <w:sz w:val="20"/>
          <w:szCs w:val="20"/>
          <w:lang w:val="sr-Cyrl-BA"/>
        </w:rPr>
        <w:t>iznosu od 65.</w:t>
      </w:r>
      <w:r w:rsidRPr="008B5A35">
        <w:rPr>
          <w:rFonts w:asciiTheme="minorHAnsi" w:hAnsiTheme="minorHAnsi"/>
          <w:color w:val="000000" w:themeColor="text1"/>
          <w:sz w:val="20"/>
          <w:szCs w:val="20"/>
        </w:rPr>
        <w:t>18</w:t>
      </w:r>
      <w:r w:rsidRPr="008B5A35">
        <w:rPr>
          <w:rFonts w:asciiTheme="minorHAnsi" w:hAnsiTheme="minorHAnsi"/>
          <w:color w:val="000000" w:themeColor="text1"/>
          <w:sz w:val="20"/>
          <w:szCs w:val="20"/>
          <w:lang w:val="sr-Cyrl-BA"/>
        </w:rPr>
        <w:t>0.956,44 KM, čime je podržan plasman 184.</w:t>
      </w:r>
      <w:r w:rsidRPr="008B5A35">
        <w:rPr>
          <w:rFonts w:asciiTheme="minorHAnsi" w:hAnsiTheme="minorHAnsi"/>
          <w:color w:val="000000" w:themeColor="text1"/>
          <w:sz w:val="20"/>
          <w:szCs w:val="20"/>
        </w:rPr>
        <w:t>5</w:t>
      </w:r>
      <w:r w:rsidRPr="008B5A35">
        <w:rPr>
          <w:rFonts w:asciiTheme="minorHAnsi" w:hAnsiTheme="minorHAnsi"/>
          <w:color w:val="000000" w:themeColor="text1"/>
          <w:sz w:val="20"/>
          <w:szCs w:val="20"/>
          <w:lang w:val="sr-Cyrl-BA"/>
        </w:rPr>
        <w:t>21.356,31 KM kreditnih sredstava. Smanjenje broja pojedinačnih garancija u odnosu na prethod</w:t>
      </w:r>
      <w:r w:rsidRPr="008B5A35">
        <w:rPr>
          <w:rFonts w:asciiTheme="minorHAnsi" w:hAnsiTheme="minorHAnsi"/>
          <w:color w:val="000000" w:themeColor="text1"/>
          <w:sz w:val="20"/>
          <w:szCs w:val="20"/>
          <w:lang w:val="sr-Cyrl-RS"/>
        </w:rPr>
        <w:t xml:space="preserve">nih nekoliko </w:t>
      </w:r>
      <w:r w:rsidRPr="008B5A35">
        <w:rPr>
          <w:rFonts w:asciiTheme="minorHAnsi" w:hAnsiTheme="minorHAnsi"/>
          <w:color w:val="000000" w:themeColor="text1"/>
          <w:sz w:val="20"/>
          <w:szCs w:val="20"/>
          <w:lang w:val="sr-Cyrl-BA"/>
        </w:rPr>
        <w:t xml:space="preserve">godina je rezultat sve većeg opredjeljenja finansijskih posrednika za izdavanje garancija u okviru kreditnog portfelja, koji zbog </w:t>
      </w:r>
      <w:r>
        <w:rPr>
          <w:rFonts w:asciiTheme="minorHAnsi" w:hAnsiTheme="minorHAnsi"/>
          <w:color w:val="000000" w:themeColor="text1"/>
          <w:sz w:val="20"/>
          <w:szCs w:val="20"/>
          <w:lang w:val="sr-Cyrl-BA"/>
        </w:rPr>
        <w:t>brže procedure i smanjenog troška za klijenta preuzima primat u odnos</w:t>
      </w:r>
      <w:r w:rsidRPr="008B5A35">
        <w:rPr>
          <w:rFonts w:asciiTheme="minorHAnsi" w:hAnsiTheme="minorHAnsi"/>
          <w:color w:val="000000" w:themeColor="text1"/>
          <w:sz w:val="20"/>
          <w:szCs w:val="20"/>
          <w:lang w:val="sr-Cyrl-BA"/>
        </w:rPr>
        <w:t xml:space="preserve">u na pojedinačne garancije u okviru redovnih linija. </w:t>
      </w:r>
    </w:p>
    <w:p w:rsidR="005934B2" w:rsidRDefault="005934B2" w:rsidP="00A401F8">
      <w:pPr>
        <w:pStyle w:val="Default"/>
        <w:jc w:val="both"/>
        <w:rPr>
          <w:rFonts w:asciiTheme="minorHAnsi" w:hAnsiTheme="minorHAnsi"/>
          <w:color w:val="000000" w:themeColor="text1"/>
          <w:sz w:val="20"/>
          <w:szCs w:val="20"/>
          <w:lang w:val="sr-Cyrl-BA"/>
        </w:rPr>
      </w:pPr>
    </w:p>
    <w:p w:rsidR="005934B2" w:rsidRDefault="005934B2" w:rsidP="00A401F8">
      <w:pPr>
        <w:pStyle w:val="Default"/>
        <w:jc w:val="both"/>
        <w:rPr>
          <w:rFonts w:asciiTheme="minorHAnsi" w:hAnsiTheme="minorHAnsi"/>
          <w:color w:val="000000" w:themeColor="text1"/>
          <w:sz w:val="20"/>
          <w:szCs w:val="20"/>
          <w:lang w:val="sr-Cyrl-BA"/>
        </w:rPr>
      </w:pPr>
    </w:p>
    <w:p w:rsidR="005934B2" w:rsidRPr="005541C1" w:rsidRDefault="005934B2" w:rsidP="00A401F8">
      <w:pPr>
        <w:pStyle w:val="Default"/>
        <w:jc w:val="both"/>
        <w:rPr>
          <w:rFonts w:asciiTheme="minorHAnsi" w:hAnsiTheme="minorHAnsi"/>
          <w:color w:val="000000" w:themeColor="text1"/>
          <w:sz w:val="20"/>
          <w:szCs w:val="20"/>
          <w:lang w:val="sr-Cyrl-BA"/>
        </w:rPr>
      </w:pPr>
    </w:p>
    <w:tbl>
      <w:tblPr>
        <w:tblW w:w="8804" w:type="dxa"/>
        <w:tblInd w:w="93" w:type="dxa"/>
        <w:tblLayout w:type="fixed"/>
        <w:tblLook w:val="04A0" w:firstRow="1" w:lastRow="0" w:firstColumn="1" w:lastColumn="0" w:noHBand="0" w:noVBand="1"/>
      </w:tblPr>
      <w:tblGrid>
        <w:gridCol w:w="15"/>
        <w:gridCol w:w="1276"/>
        <w:gridCol w:w="1629"/>
        <w:gridCol w:w="1064"/>
        <w:gridCol w:w="1456"/>
        <w:gridCol w:w="1480"/>
        <w:gridCol w:w="1033"/>
        <w:gridCol w:w="67"/>
        <w:gridCol w:w="784"/>
      </w:tblGrid>
      <w:tr w:rsidR="005934B2" w:rsidRPr="003D7300" w:rsidTr="000366C5">
        <w:trPr>
          <w:gridBefore w:val="1"/>
          <w:wBefore w:w="15" w:type="dxa"/>
          <w:trHeight w:val="465"/>
        </w:trPr>
        <w:tc>
          <w:tcPr>
            <w:tcW w:w="1276" w:type="dxa"/>
            <w:tcBorders>
              <w:top w:val="nil"/>
              <w:left w:val="nil"/>
              <w:bottom w:val="nil"/>
              <w:right w:val="nil"/>
            </w:tcBorders>
            <w:shd w:val="clear" w:color="000000" w:fill="FFFFFF"/>
          </w:tcPr>
          <w:p w:rsidR="005934B2" w:rsidRPr="003D7300" w:rsidRDefault="005934B2" w:rsidP="000366C5">
            <w:pPr>
              <w:rPr>
                <w:rFonts w:asciiTheme="minorHAnsi" w:hAnsiTheme="minorHAnsi"/>
                <w:b/>
                <w:bCs/>
                <w:color w:val="FF0000"/>
                <w:sz w:val="20"/>
                <w:szCs w:val="20"/>
                <w:lang w:val="sr-Cyrl-RS" w:eastAsia="sr-Latn-RS"/>
              </w:rPr>
            </w:pPr>
          </w:p>
        </w:tc>
        <w:tc>
          <w:tcPr>
            <w:tcW w:w="6662" w:type="dxa"/>
            <w:gridSpan w:val="5"/>
            <w:tcBorders>
              <w:top w:val="nil"/>
              <w:left w:val="nil"/>
              <w:bottom w:val="nil"/>
              <w:right w:val="nil"/>
            </w:tcBorders>
            <w:shd w:val="clear" w:color="000000" w:fill="FFFFFF"/>
            <w:vAlign w:val="center"/>
            <w:hideMark/>
          </w:tcPr>
          <w:p w:rsidR="005934B2" w:rsidRDefault="005934B2" w:rsidP="000366C5">
            <w:pPr>
              <w:jc w:val="center"/>
              <w:rPr>
                <w:rFonts w:asciiTheme="minorHAnsi" w:hAnsiTheme="minorHAnsi"/>
                <w:b/>
                <w:bCs/>
                <w:color w:val="000000" w:themeColor="text1"/>
                <w:sz w:val="20"/>
                <w:szCs w:val="20"/>
                <w:lang w:val="sr-Cyrl-RS" w:eastAsia="sr-Latn-RS"/>
              </w:rPr>
            </w:pPr>
          </w:p>
          <w:p w:rsidR="005934B2" w:rsidRPr="003D7300" w:rsidRDefault="005934B2" w:rsidP="000366C5">
            <w:pPr>
              <w:jc w:val="center"/>
              <w:rPr>
                <w:rFonts w:asciiTheme="minorHAnsi" w:hAnsiTheme="minorHAnsi"/>
                <w:b/>
                <w:bCs/>
                <w:color w:val="FF0000"/>
                <w:sz w:val="20"/>
                <w:szCs w:val="20"/>
                <w:lang w:val="sr-Cyrl-RS" w:eastAsia="sr-Latn-RS"/>
              </w:rPr>
            </w:pPr>
            <w:r w:rsidRPr="008B5A35">
              <w:rPr>
                <w:rFonts w:asciiTheme="minorHAnsi" w:hAnsiTheme="minorHAnsi"/>
                <w:b/>
                <w:bCs/>
                <w:color w:val="000000" w:themeColor="text1"/>
                <w:sz w:val="20"/>
                <w:szCs w:val="20"/>
                <w:lang w:val="sr-Latn-RS" w:eastAsia="sr-Latn-RS"/>
              </w:rPr>
              <w:t>Pregled aktivnih garancija</w:t>
            </w:r>
            <w:r w:rsidRPr="008B5A35">
              <w:rPr>
                <w:rFonts w:asciiTheme="minorHAnsi" w:hAnsiTheme="minorHAnsi"/>
                <w:b/>
                <w:bCs/>
                <w:color w:val="000000" w:themeColor="text1"/>
                <w:sz w:val="20"/>
                <w:szCs w:val="20"/>
                <w:lang w:val="sr-Cyrl-BA" w:eastAsia="sr-Latn-RS"/>
              </w:rPr>
              <w:t xml:space="preserve"> po finansijskim posrednicima </w:t>
            </w:r>
            <w:r w:rsidRPr="008B5A35">
              <w:rPr>
                <w:rFonts w:asciiTheme="minorHAnsi" w:hAnsiTheme="minorHAnsi"/>
                <w:b/>
                <w:bCs/>
                <w:color w:val="000000" w:themeColor="text1"/>
                <w:sz w:val="20"/>
                <w:szCs w:val="20"/>
                <w:lang w:val="sr-Latn-RS" w:eastAsia="sr-Latn-RS"/>
              </w:rPr>
              <w:t>na dan 31.12.202</w:t>
            </w:r>
            <w:r w:rsidRPr="008B5A35">
              <w:rPr>
                <w:rFonts w:asciiTheme="minorHAnsi" w:hAnsiTheme="minorHAnsi"/>
                <w:b/>
                <w:bCs/>
                <w:color w:val="000000" w:themeColor="text1"/>
                <w:sz w:val="20"/>
                <w:szCs w:val="20"/>
                <w:lang w:val="sr-Cyrl-RS" w:eastAsia="sr-Latn-RS"/>
              </w:rPr>
              <w:t>4</w:t>
            </w:r>
            <w:r w:rsidRPr="008B5A35">
              <w:rPr>
                <w:rFonts w:asciiTheme="minorHAnsi" w:hAnsiTheme="minorHAnsi"/>
                <w:b/>
                <w:bCs/>
                <w:color w:val="000000" w:themeColor="text1"/>
                <w:sz w:val="20"/>
                <w:szCs w:val="20"/>
                <w:lang w:val="sr-Latn-RS" w:eastAsia="sr-Latn-RS"/>
              </w:rPr>
              <w:t>.</w:t>
            </w:r>
            <w:r w:rsidRPr="008B5A35">
              <w:rPr>
                <w:rFonts w:asciiTheme="minorHAnsi" w:hAnsiTheme="minorHAnsi"/>
                <w:b/>
                <w:bCs/>
                <w:color w:val="000000" w:themeColor="text1"/>
                <w:sz w:val="20"/>
                <w:szCs w:val="20"/>
                <w:lang w:val="sr-Cyrl-RS" w:eastAsia="sr-Latn-RS"/>
              </w:rPr>
              <w:t xml:space="preserve"> godine</w:t>
            </w:r>
          </w:p>
        </w:tc>
        <w:tc>
          <w:tcPr>
            <w:tcW w:w="851" w:type="dxa"/>
            <w:gridSpan w:val="2"/>
            <w:tcBorders>
              <w:top w:val="nil"/>
              <w:left w:val="nil"/>
              <w:bottom w:val="nil"/>
              <w:right w:val="nil"/>
            </w:tcBorders>
            <w:shd w:val="clear" w:color="000000" w:fill="FFFFFF"/>
          </w:tcPr>
          <w:p w:rsidR="005934B2" w:rsidRPr="003D7300" w:rsidRDefault="005934B2" w:rsidP="000366C5">
            <w:pPr>
              <w:rPr>
                <w:rFonts w:asciiTheme="minorHAnsi" w:hAnsiTheme="minorHAnsi"/>
                <w:b/>
                <w:bCs/>
                <w:color w:val="FF0000"/>
                <w:sz w:val="20"/>
                <w:szCs w:val="20"/>
                <w:lang w:val="sr-Cyrl-RS" w:eastAsia="sr-Latn-RS"/>
              </w:rPr>
            </w:pPr>
          </w:p>
        </w:tc>
      </w:tr>
      <w:tr w:rsidR="005934B2" w:rsidRPr="003D7300" w:rsidTr="000366C5">
        <w:trPr>
          <w:gridBefore w:val="1"/>
          <w:wBefore w:w="15" w:type="dxa"/>
          <w:trHeight w:val="513"/>
        </w:trPr>
        <w:tc>
          <w:tcPr>
            <w:tcW w:w="8789" w:type="dxa"/>
            <w:gridSpan w:val="8"/>
            <w:tcBorders>
              <w:top w:val="nil"/>
              <w:left w:val="nil"/>
              <w:bottom w:val="nil"/>
              <w:right w:val="nil"/>
            </w:tcBorders>
            <w:shd w:val="clear" w:color="000000" w:fill="FFFFFF"/>
          </w:tcPr>
          <w:p w:rsidR="005934B2" w:rsidRPr="003D7300" w:rsidRDefault="005934B2" w:rsidP="000366C5">
            <w:pPr>
              <w:rPr>
                <w:rFonts w:asciiTheme="minorHAnsi" w:hAnsiTheme="minorHAnsi"/>
                <w:b/>
                <w:color w:val="FF0000"/>
                <w:sz w:val="20"/>
                <w:szCs w:val="20"/>
                <w:lang w:val="sr-Cyrl-BA" w:eastAsia="sr-Latn-RS"/>
              </w:rPr>
            </w:pPr>
          </w:p>
          <w:p w:rsidR="005934B2" w:rsidRPr="003D7300" w:rsidRDefault="005934B2" w:rsidP="000366C5">
            <w:pPr>
              <w:jc w:val="right"/>
              <w:rPr>
                <w:rFonts w:asciiTheme="minorHAnsi" w:hAnsiTheme="minorHAnsi"/>
                <w:b/>
                <w:color w:val="FF0000"/>
                <w:sz w:val="20"/>
                <w:szCs w:val="20"/>
                <w:lang w:val="sr-Cyrl-BA" w:eastAsia="sr-Latn-RS"/>
              </w:rPr>
            </w:pPr>
            <w:r w:rsidRPr="00847319">
              <w:rPr>
                <w:rFonts w:asciiTheme="minorHAnsi" w:hAnsiTheme="minorHAnsi"/>
                <w:b/>
                <w:color w:val="000000" w:themeColor="text1"/>
                <w:sz w:val="20"/>
                <w:szCs w:val="20"/>
                <w:lang w:val="sr-Cyrl-BA" w:eastAsia="sr-Latn-RS"/>
              </w:rPr>
              <w:t xml:space="preserve">      Tabela </w:t>
            </w:r>
            <w:r>
              <w:rPr>
                <w:rFonts w:asciiTheme="minorHAnsi" w:hAnsiTheme="minorHAnsi"/>
                <w:b/>
                <w:color w:val="000000" w:themeColor="text1"/>
                <w:sz w:val="20"/>
                <w:szCs w:val="20"/>
                <w:lang w:val="sr-Cyrl-BA" w:eastAsia="sr-Latn-RS"/>
              </w:rPr>
              <w:t>4</w:t>
            </w:r>
          </w:p>
        </w:tc>
      </w:tr>
      <w:tr w:rsidR="005934B2" w:rsidRPr="00C120D5" w:rsidTr="000366C5">
        <w:trPr>
          <w:trHeight w:val="390"/>
        </w:trPr>
        <w:tc>
          <w:tcPr>
            <w:tcW w:w="2920" w:type="dxa"/>
            <w:gridSpan w:val="3"/>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BA"/>
              </w:rPr>
              <w:t>Finansijski posrednik</w:t>
            </w:r>
          </w:p>
        </w:tc>
        <w:tc>
          <w:tcPr>
            <w:tcW w:w="1064"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BA"/>
              </w:rPr>
              <w:t>Broj garancija</w:t>
            </w:r>
          </w:p>
        </w:tc>
        <w:tc>
          <w:tcPr>
            <w:tcW w:w="1456"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BA"/>
              </w:rPr>
              <w:t>Nominalni iznos garancije</w:t>
            </w:r>
          </w:p>
        </w:tc>
        <w:tc>
          <w:tcPr>
            <w:tcW w:w="1480"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BA"/>
              </w:rPr>
              <w:t>Preostali iznos garancije</w:t>
            </w:r>
          </w:p>
        </w:tc>
        <w:tc>
          <w:tcPr>
            <w:tcW w:w="1100" w:type="dxa"/>
            <w:gridSpan w:val="2"/>
            <w:tcBorders>
              <w:top w:val="single" w:sz="4" w:space="0" w:color="auto"/>
              <w:left w:val="nil"/>
              <w:bottom w:val="nil"/>
              <w:right w:val="nil"/>
            </w:tcBorders>
            <w:shd w:val="clear" w:color="000000" w:fill="8DB3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rPr>
              <w:t>Učešće</w:t>
            </w:r>
          </w:p>
        </w:tc>
        <w:tc>
          <w:tcPr>
            <w:tcW w:w="784" w:type="dxa"/>
            <w:vMerge w:val="restart"/>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BA"/>
              </w:rPr>
              <w:t>Izloženost</w:t>
            </w:r>
          </w:p>
        </w:tc>
      </w:tr>
      <w:tr w:rsidR="005934B2" w:rsidRPr="00C120D5" w:rsidTr="000366C5">
        <w:trPr>
          <w:trHeight w:val="315"/>
        </w:trPr>
        <w:tc>
          <w:tcPr>
            <w:tcW w:w="2920" w:type="dxa"/>
            <w:gridSpan w:val="3"/>
            <w:vMerge/>
            <w:tcBorders>
              <w:top w:val="single" w:sz="4" w:space="0" w:color="auto"/>
              <w:left w:val="single" w:sz="4" w:space="0" w:color="auto"/>
              <w:bottom w:val="single" w:sz="4" w:space="0" w:color="auto"/>
              <w:right w:val="single" w:sz="4" w:space="0" w:color="auto"/>
            </w:tcBorders>
            <w:vAlign w:val="center"/>
            <w:hideMark/>
          </w:tcPr>
          <w:p w:rsidR="005934B2" w:rsidRPr="00C120D5" w:rsidRDefault="005934B2" w:rsidP="000366C5">
            <w:pPr>
              <w:jc w:val="left"/>
              <w:rPr>
                <w:rFonts w:ascii="Calibri" w:hAnsi="Calibri"/>
                <w:b/>
                <w:bCs/>
                <w:color w:val="auto"/>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5934B2" w:rsidRPr="00C120D5" w:rsidRDefault="005934B2" w:rsidP="000366C5">
            <w:pPr>
              <w:jc w:val="left"/>
              <w:rPr>
                <w:rFonts w:ascii="Calibri" w:hAnsi="Calibri"/>
                <w:b/>
                <w:bCs/>
                <w:color w:val="auto"/>
                <w:sz w:val="18"/>
                <w:szCs w:val="18"/>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5934B2" w:rsidRPr="00C120D5" w:rsidRDefault="005934B2" w:rsidP="000366C5">
            <w:pPr>
              <w:jc w:val="left"/>
              <w:rPr>
                <w:rFonts w:ascii="Calibri" w:hAnsi="Calibri"/>
                <w:b/>
                <w:bCs/>
                <w:color w:val="auto"/>
                <w:sz w:val="18"/>
                <w:szCs w:val="18"/>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5934B2" w:rsidRPr="00C120D5" w:rsidRDefault="005934B2" w:rsidP="000366C5">
            <w:pPr>
              <w:jc w:val="left"/>
              <w:rPr>
                <w:rFonts w:ascii="Calibri" w:hAnsi="Calibri"/>
                <w:b/>
                <w:bCs/>
                <w:color w:val="auto"/>
                <w:sz w:val="18"/>
                <w:szCs w:val="18"/>
              </w:rPr>
            </w:pPr>
          </w:p>
        </w:tc>
        <w:tc>
          <w:tcPr>
            <w:tcW w:w="1100" w:type="dxa"/>
            <w:gridSpan w:val="2"/>
            <w:tcBorders>
              <w:top w:val="nil"/>
              <w:left w:val="nil"/>
              <w:bottom w:val="single" w:sz="4" w:space="0" w:color="auto"/>
              <w:right w:val="nil"/>
            </w:tcBorders>
            <w:shd w:val="clear" w:color="000000" w:fill="8DB3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rPr>
              <w:t> </w:t>
            </w:r>
          </w:p>
        </w:tc>
        <w:tc>
          <w:tcPr>
            <w:tcW w:w="784" w:type="dxa"/>
            <w:vMerge/>
            <w:tcBorders>
              <w:top w:val="single" w:sz="4" w:space="0" w:color="auto"/>
              <w:left w:val="single" w:sz="4" w:space="0" w:color="auto"/>
              <w:bottom w:val="single" w:sz="4" w:space="0" w:color="auto"/>
              <w:right w:val="single" w:sz="4" w:space="0" w:color="auto"/>
            </w:tcBorders>
            <w:vAlign w:val="center"/>
            <w:hideMark/>
          </w:tcPr>
          <w:p w:rsidR="005934B2" w:rsidRPr="00C120D5" w:rsidRDefault="005934B2" w:rsidP="000366C5">
            <w:pPr>
              <w:jc w:val="left"/>
              <w:rPr>
                <w:rFonts w:ascii="Calibri" w:hAnsi="Calibri"/>
                <w:b/>
                <w:bCs/>
                <w:color w:val="auto"/>
                <w:sz w:val="18"/>
                <w:szCs w:val="18"/>
              </w:rPr>
            </w:pP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Cyrl-BA"/>
              </w:rPr>
              <w:t>M</w:t>
            </w:r>
            <w:r>
              <w:rPr>
                <w:rFonts w:ascii="Calibri" w:hAnsi="Calibri"/>
                <w:color w:val="auto"/>
                <w:sz w:val="18"/>
                <w:szCs w:val="18"/>
                <w:lang w:val="sr-Cyrl-BA"/>
              </w:rPr>
              <w:t xml:space="preserve">F </w:t>
            </w:r>
            <w:r w:rsidRPr="00C120D5">
              <w:rPr>
                <w:rFonts w:ascii="Calibri" w:hAnsi="Calibri"/>
                <w:color w:val="auto"/>
                <w:sz w:val="18"/>
                <w:szCs w:val="18"/>
                <w:lang w:val="sr-Cyrl-BA"/>
              </w:rPr>
              <w:t xml:space="preserve">banka a.d. Banja Luka  </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26</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7.237.655,00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4.928.478,82</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43,42%</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18,25%</w:t>
            </w:r>
          </w:p>
        </w:tc>
      </w:tr>
      <w:tr w:rsidR="005934B2" w:rsidRPr="00C120D5" w:rsidTr="000366C5">
        <w:trPr>
          <w:trHeight w:val="480"/>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Latn-RS"/>
              </w:rPr>
              <w:t>Fond za razvoj i zapošljavanje RS a.d. Banja Luka</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3</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2.415.000,00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638.981,37</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5,63%</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2,37%</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Cyrl-BA"/>
              </w:rPr>
              <w:t>Nova banka a.d. Banja Luka</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11</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3.657.490,00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2.180.521,53</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19,21%</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8,08%</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Latn-RS"/>
              </w:rPr>
              <w:t xml:space="preserve">Procredit bank d.d. Sarajevo  </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5</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2.594.288,72</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2.226.005,84</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19,61%</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8,24%</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Cyrl-BA"/>
              </w:rPr>
              <w:t xml:space="preserve">BPŠ banka a.d. Banja Luka  </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5</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795.000,00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444.951,57</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3,92%</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1,65%</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Latn-RS"/>
              </w:rPr>
              <w:t xml:space="preserve">Unicredit bank a.d. Banja Luka  </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2</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694.572,32</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506.999,13</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4,47%</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1,88%</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Cyrl-BA"/>
              </w:rPr>
              <w:t xml:space="preserve">Atos banka a.d. Banja Luka  </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3</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770.000,00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291.463,97</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2,57%</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1,08%</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Latn-RS"/>
              </w:rPr>
              <w:t xml:space="preserve">Ziraat bank d.d. Sarajevo  </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Latn-RS"/>
              </w:rPr>
              <w:t>1</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125.000,00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41.797,04</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0,37%</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0,15%</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Cyrl-BA"/>
              </w:rPr>
              <w:t>Naša banka a.d. Bijeljina</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Cyrl-RS"/>
              </w:rPr>
              <w:t>3</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85.000,00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49.702,33</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0,44%</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0,18%</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auto" w:fill="auto"/>
            <w:vAlign w:val="center"/>
            <w:hideMark/>
          </w:tcPr>
          <w:p w:rsidR="005934B2" w:rsidRPr="00C120D5" w:rsidRDefault="005934B2" w:rsidP="000366C5">
            <w:pPr>
              <w:jc w:val="left"/>
              <w:rPr>
                <w:rFonts w:ascii="Calibri" w:hAnsi="Calibri"/>
                <w:color w:val="auto"/>
                <w:sz w:val="18"/>
                <w:szCs w:val="18"/>
              </w:rPr>
            </w:pPr>
            <w:r w:rsidRPr="00C120D5">
              <w:rPr>
                <w:rFonts w:ascii="Calibri" w:hAnsi="Calibri"/>
                <w:color w:val="auto"/>
                <w:sz w:val="18"/>
                <w:szCs w:val="18"/>
                <w:lang w:val="sr-Latn-RS"/>
              </w:rPr>
              <w:t>Nlb banka a.d. Banja Luka</w:t>
            </w:r>
          </w:p>
        </w:tc>
        <w:tc>
          <w:tcPr>
            <w:tcW w:w="106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lang w:val="sr-Latn-RS"/>
              </w:rPr>
              <w:t>1</w:t>
            </w:r>
          </w:p>
        </w:tc>
        <w:tc>
          <w:tcPr>
            <w:tcW w:w="1456"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75.000,00</w:t>
            </w:r>
          </w:p>
        </w:tc>
        <w:tc>
          <w:tcPr>
            <w:tcW w:w="1480"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right"/>
              <w:rPr>
                <w:rFonts w:ascii="Calibri" w:hAnsi="Calibri"/>
                <w:color w:val="auto"/>
                <w:sz w:val="18"/>
                <w:szCs w:val="18"/>
              </w:rPr>
            </w:pPr>
            <w:r w:rsidRPr="00C120D5">
              <w:rPr>
                <w:rFonts w:ascii="Calibri" w:hAnsi="Calibri"/>
                <w:color w:val="auto"/>
                <w:sz w:val="18"/>
                <w:szCs w:val="18"/>
                <w:lang w:val="sr-Cyrl-RS"/>
              </w:rPr>
              <w:t>41.420,40</w:t>
            </w:r>
          </w:p>
        </w:tc>
        <w:tc>
          <w:tcPr>
            <w:tcW w:w="1100" w:type="dxa"/>
            <w:gridSpan w:val="2"/>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0,36%</w:t>
            </w:r>
          </w:p>
        </w:tc>
        <w:tc>
          <w:tcPr>
            <w:tcW w:w="784" w:type="dxa"/>
            <w:tcBorders>
              <w:top w:val="nil"/>
              <w:left w:val="nil"/>
              <w:bottom w:val="single" w:sz="4" w:space="0" w:color="auto"/>
              <w:right w:val="single" w:sz="4" w:space="0" w:color="auto"/>
            </w:tcBorders>
            <w:shd w:val="clear" w:color="auto" w:fill="auto"/>
            <w:vAlign w:val="center"/>
            <w:hideMark/>
          </w:tcPr>
          <w:p w:rsidR="005934B2" w:rsidRPr="00C120D5" w:rsidRDefault="005934B2" w:rsidP="000366C5">
            <w:pPr>
              <w:jc w:val="center"/>
              <w:rPr>
                <w:rFonts w:ascii="Calibri" w:hAnsi="Calibri"/>
                <w:color w:val="auto"/>
                <w:sz w:val="18"/>
                <w:szCs w:val="18"/>
              </w:rPr>
            </w:pPr>
            <w:r w:rsidRPr="00C120D5">
              <w:rPr>
                <w:rFonts w:ascii="Calibri" w:hAnsi="Calibri"/>
                <w:color w:val="auto"/>
                <w:sz w:val="18"/>
                <w:szCs w:val="18"/>
              </w:rPr>
              <w:t>0,15%</w:t>
            </w:r>
          </w:p>
        </w:tc>
      </w:tr>
      <w:tr w:rsidR="005934B2" w:rsidRPr="00C120D5" w:rsidTr="000366C5">
        <w:trPr>
          <w:trHeight w:val="315"/>
        </w:trPr>
        <w:tc>
          <w:tcPr>
            <w:tcW w:w="2920" w:type="dxa"/>
            <w:gridSpan w:val="3"/>
            <w:tcBorders>
              <w:top w:val="nil"/>
              <w:left w:val="single" w:sz="4" w:space="0" w:color="auto"/>
              <w:bottom w:val="single" w:sz="4" w:space="0" w:color="auto"/>
              <w:right w:val="single" w:sz="4" w:space="0" w:color="auto"/>
            </w:tcBorders>
            <w:shd w:val="clear" w:color="000000" w:fill="8DB4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BA"/>
              </w:rPr>
              <w:t>UKUPNO</w:t>
            </w:r>
          </w:p>
        </w:tc>
        <w:tc>
          <w:tcPr>
            <w:tcW w:w="1064" w:type="dxa"/>
            <w:tcBorders>
              <w:top w:val="nil"/>
              <w:left w:val="nil"/>
              <w:bottom w:val="single" w:sz="4" w:space="0" w:color="auto"/>
              <w:right w:val="single" w:sz="4" w:space="0" w:color="auto"/>
            </w:tcBorders>
            <w:shd w:val="clear" w:color="000000" w:fill="8DB4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RS"/>
              </w:rPr>
              <w:t>60</w:t>
            </w:r>
          </w:p>
        </w:tc>
        <w:tc>
          <w:tcPr>
            <w:tcW w:w="1456" w:type="dxa"/>
            <w:tcBorders>
              <w:top w:val="nil"/>
              <w:left w:val="nil"/>
              <w:bottom w:val="single" w:sz="4" w:space="0" w:color="auto"/>
              <w:right w:val="single" w:sz="4" w:space="0" w:color="auto"/>
            </w:tcBorders>
            <w:shd w:val="clear" w:color="000000" w:fill="8DB4E2"/>
            <w:vAlign w:val="center"/>
            <w:hideMark/>
          </w:tcPr>
          <w:p w:rsidR="005934B2" w:rsidRPr="00C120D5" w:rsidRDefault="005934B2" w:rsidP="000366C5">
            <w:pPr>
              <w:jc w:val="right"/>
              <w:rPr>
                <w:rFonts w:ascii="Calibri" w:hAnsi="Calibri"/>
                <w:b/>
                <w:bCs/>
                <w:color w:val="auto"/>
                <w:sz w:val="18"/>
                <w:szCs w:val="18"/>
              </w:rPr>
            </w:pPr>
            <w:r w:rsidRPr="00C120D5">
              <w:rPr>
                <w:rFonts w:ascii="Calibri" w:hAnsi="Calibri"/>
                <w:b/>
                <w:bCs/>
                <w:color w:val="auto"/>
                <w:sz w:val="18"/>
                <w:szCs w:val="18"/>
                <w:lang w:val="sr-Cyrl-RS"/>
              </w:rPr>
              <w:t>18.449.006,04</w:t>
            </w:r>
          </w:p>
        </w:tc>
        <w:tc>
          <w:tcPr>
            <w:tcW w:w="1480" w:type="dxa"/>
            <w:tcBorders>
              <w:top w:val="nil"/>
              <w:left w:val="nil"/>
              <w:bottom w:val="single" w:sz="4" w:space="0" w:color="auto"/>
              <w:right w:val="single" w:sz="4" w:space="0" w:color="auto"/>
            </w:tcBorders>
            <w:shd w:val="clear" w:color="000000" w:fill="8DB4E2"/>
            <w:vAlign w:val="center"/>
            <w:hideMark/>
          </w:tcPr>
          <w:p w:rsidR="005934B2" w:rsidRPr="00C120D5" w:rsidRDefault="005934B2" w:rsidP="000366C5">
            <w:pPr>
              <w:jc w:val="right"/>
              <w:rPr>
                <w:rFonts w:ascii="Calibri" w:hAnsi="Calibri"/>
                <w:b/>
                <w:bCs/>
                <w:color w:val="auto"/>
                <w:sz w:val="18"/>
                <w:szCs w:val="18"/>
              </w:rPr>
            </w:pPr>
            <w:r w:rsidRPr="00C120D5">
              <w:rPr>
                <w:rFonts w:ascii="Calibri" w:hAnsi="Calibri"/>
                <w:b/>
                <w:bCs/>
                <w:color w:val="auto"/>
                <w:sz w:val="18"/>
                <w:szCs w:val="18"/>
                <w:lang w:val="sr-Latn-RS"/>
              </w:rPr>
              <w:t>11.350.322,00</w:t>
            </w:r>
          </w:p>
        </w:tc>
        <w:tc>
          <w:tcPr>
            <w:tcW w:w="1100" w:type="dxa"/>
            <w:gridSpan w:val="2"/>
            <w:tcBorders>
              <w:top w:val="nil"/>
              <w:left w:val="nil"/>
              <w:bottom w:val="single" w:sz="4" w:space="0" w:color="auto"/>
              <w:right w:val="single" w:sz="4" w:space="0" w:color="auto"/>
            </w:tcBorders>
            <w:shd w:val="clear" w:color="000000" w:fill="8DB4E2"/>
            <w:vAlign w:val="center"/>
            <w:hideMark/>
          </w:tcPr>
          <w:p w:rsidR="005934B2" w:rsidRPr="00C120D5" w:rsidRDefault="005934B2" w:rsidP="000366C5">
            <w:pPr>
              <w:jc w:val="center"/>
              <w:rPr>
                <w:rFonts w:ascii="Calibri" w:hAnsi="Calibri"/>
                <w:b/>
                <w:bCs/>
                <w:color w:val="auto"/>
                <w:sz w:val="18"/>
                <w:szCs w:val="18"/>
              </w:rPr>
            </w:pPr>
            <w:r w:rsidRPr="00C120D5">
              <w:rPr>
                <w:rFonts w:ascii="Calibri" w:hAnsi="Calibri"/>
                <w:b/>
                <w:bCs/>
                <w:color w:val="auto"/>
                <w:sz w:val="18"/>
                <w:szCs w:val="18"/>
                <w:lang w:val="sr-Cyrl-RS"/>
              </w:rPr>
              <w:t>100,00%</w:t>
            </w:r>
          </w:p>
        </w:tc>
        <w:tc>
          <w:tcPr>
            <w:tcW w:w="784" w:type="dxa"/>
            <w:tcBorders>
              <w:top w:val="nil"/>
              <w:left w:val="nil"/>
              <w:bottom w:val="single" w:sz="4" w:space="0" w:color="auto"/>
              <w:right w:val="single" w:sz="4" w:space="0" w:color="auto"/>
            </w:tcBorders>
            <w:shd w:val="clear" w:color="000000" w:fill="8DB4E2"/>
            <w:vAlign w:val="center"/>
            <w:hideMark/>
          </w:tcPr>
          <w:p w:rsidR="005934B2" w:rsidRPr="00C120D5" w:rsidRDefault="005934B2" w:rsidP="000366C5">
            <w:pPr>
              <w:jc w:val="left"/>
              <w:rPr>
                <w:b/>
                <w:bCs/>
                <w:color w:val="auto"/>
              </w:rPr>
            </w:pPr>
            <w:r w:rsidRPr="00C120D5">
              <w:rPr>
                <w:b/>
                <w:bCs/>
                <w:color w:val="auto"/>
              </w:rPr>
              <w:t> </w:t>
            </w:r>
          </w:p>
        </w:tc>
      </w:tr>
    </w:tbl>
    <w:p w:rsidR="005934B2" w:rsidRPr="00C120D5" w:rsidRDefault="005934B2" w:rsidP="00A401F8">
      <w:pPr>
        <w:autoSpaceDE w:val="0"/>
        <w:autoSpaceDN w:val="0"/>
        <w:adjustRightInd w:val="0"/>
        <w:rPr>
          <w:rFonts w:asciiTheme="minorHAnsi" w:eastAsiaTheme="minorHAnsi" w:hAnsiTheme="minorHAnsi"/>
          <w:color w:val="000000" w:themeColor="text1"/>
          <w:sz w:val="20"/>
          <w:szCs w:val="20"/>
          <w:lang w:val="sr-Cyrl-BA" w:eastAsia="en-US"/>
        </w:rPr>
      </w:pPr>
    </w:p>
    <w:p w:rsidR="005934B2" w:rsidRPr="00C120D5" w:rsidRDefault="005934B2" w:rsidP="00A401F8">
      <w:pPr>
        <w:autoSpaceDE w:val="0"/>
        <w:autoSpaceDN w:val="0"/>
        <w:adjustRightInd w:val="0"/>
        <w:rPr>
          <w:rFonts w:asciiTheme="minorHAnsi" w:eastAsiaTheme="minorHAnsi" w:hAnsiTheme="minorHAnsi"/>
          <w:color w:val="000000" w:themeColor="text1"/>
          <w:sz w:val="20"/>
          <w:szCs w:val="20"/>
          <w:lang w:val="sr-Cyrl-BA" w:eastAsia="en-US"/>
        </w:rPr>
      </w:pPr>
      <w:r w:rsidRPr="00C120D5">
        <w:rPr>
          <w:rFonts w:asciiTheme="minorHAnsi" w:eastAsiaTheme="minorHAnsi" w:hAnsiTheme="minorHAnsi"/>
          <w:color w:val="000000" w:themeColor="text1"/>
          <w:sz w:val="20"/>
          <w:szCs w:val="20"/>
          <w:lang w:val="sr-Cyrl-BA" w:eastAsia="en-US"/>
        </w:rPr>
        <w:t xml:space="preserve">Na dan 31.12.2024. godine, aktivno je 60 pojedinačnih garancija odobrenih u nominalnom iznosu od 18.449.006,04 KM, čije stanje iznosi 11.350.322,00 KM. U strukturi aktivnih garancija dominiraju garancije izdane u korist MF banke a.d. Banja Luka. Njihovo učešće u ukupno aktivnim garancijama na dan 31.12.2024. godine iznosi 43,42% ili 4.928.478,82 KM u apsolutnom iznosu. Na drugom mjestu se nalazi </w:t>
      </w:r>
      <w:r>
        <w:rPr>
          <w:rFonts w:asciiTheme="minorHAnsi" w:hAnsiTheme="minorHAnsi"/>
          <w:color w:val="000000" w:themeColor="text1"/>
          <w:sz w:val="20"/>
          <w:szCs w:val="20"/>
          <w:lang w:val="sr-Latn-RS"/>
        </w:rPr>
        <w:t xml:space="preserve">Procredit bank d.d. Sarajevo </w:t>
      </w:r>
      <w:r w:rsidRPr="00C120D5">
        <w:rPr>
          <w:rFonts w:asciiTheme="minorHAnsi" w:eastAsiaTheme="minorHAnsi" w:hAnsiTheme="minorHAnsi"/>
          <w:color w:val="000000" w:themeColor="text1"/>
          <w:sz w:val="20"/>
          <w:szCs w:val="20"/>
          <w:lang w:val="sr-Cyrl-BA" w:eastAsia="en-US"/>
        </w:rPr>
        <w:t xml:space="preserve">, a </w:t>
      </w:r>
      <w:r>
        <w:rPr>
          <w:rFonts w:asciiTheme="minorHAnsi" w:eastAsiaTheme="minorHAnsi" w:hAnsiTheme="minorHAnsi"/>
          <w:color w:val="000000" w:themeColor="text1"/>
          <w:sz w:val="20"/>
          <w:szCs w:val="20"/>
          <w:lang w:val="sr-Cyrl-BA" w:eastAsia="en-US"/>
        </w:rPr>
        <w:t xml:space="preserve">aktivne </w:t>
      </w:r>
      <w:r w:rsidRPr="00C120D5">
        <w:rPr>
          <w:rFonts w:asciiTheme="minorHAnsi" w:eastAsiaTheme="minorHAnsi" w:hAnsiTheme="minorHAnsi"/>
          <w:color w:val="000000" w:themeColor="text1"/>
          <w:sz w:val="20"/>
          <w:szCs w:val="20"/>
          <w:lang w:val="sr-Cyrl-BA" w:eastAsia="en-US"/>
        </w:rPr>
        <w:t xml:space="preserve">garancije izdane u njenu korist imaju učešće od 19,61%, što je </w:t>
      </w:r>
      <w:r w:rsidRPr="00C120D5">
        <w:rPr>
          <w:rFonts w:asciiTheme="minorHAnsi" w:hAnsiTheme="minorHAnsi"/>
          <w:color w:val="000000" w:themeColor="text1"/>
          <w:sz w:val="20"/>
          <w:szCs w:val="20"/>
          <w:lang w:val="sr-Cyrl-RS"/>
        </w:rPr>
        <w:t xml:space="preserve">2.226.005,84 </w:t>
      </w:r>
      <w:r w:rsidRPr="00C120D5">
        <w:rPr>
          <w:rFonts w:asciiTheme="minorHAnsi" w:eastAsiaTheme="minorHAnsi" w:hAnsiTheme="minorHAnsi"/>
          <w:color w:val="000000" w:themeColor="text1"/>
          <w:sz w:val="20"/>
          <w:szCs w:val="20"/>
          <w:lang w:val="sr-Cyrl-BA" w:eastAsia="en-US"/>
        </w:rPr>
        <w:t>KM u apsolutnom iznosu. Preostali iznos garancija izdanih u korist Nove banke a.d. Banja Luka imaju  učešće od 19,21 %.</w:t>
      </w:r>
    </w:p>
    <w:p w:rsidR="005934B2" w:rsidRPr="00C120D5" w:rsidRDefault="005934B2" w:rsidP="00A401F8">
      <w:pPr>
        <w:autoSpaceDE w:val="0"/>
        <w:autoSpaceDN w:val="0"/>
        <w:adjustRightInd w:val="0"/>
        <w:rPr>
          <w:rFonts w:asciiTheme="minorHAnsi" w:eastAsiaTheme="minorHAnsi" w:hAnsiTheme="minorHAnsi"/>
          <w:color w:val="000000" w:themeColor="text1"/>
          <w:sz w:val="20"/>
          <w:szCs w:val="20"/>
          <w:lang w:val="sr-Cyrl-BA" w:eastAsia="en-US"/>
        </w:rPr>
      </w:pPr>
    </w:p>
    <w:p w:rsidR="005934B2" w:rsidRPr="00C120D5" w:rsidRDefault="005934B2" w:rsidP="00A401F8">
      <w:pPr>
        <w:autoSpaceDE w:val="0"/>
        <w:autoSpaceDN w:val="0"/>
        <w:adjustRightInd w:val="0"/>
        <w:rPr>
          <w:rFonts w:asciiTheme="minorHAnsi" w:eastAsiaTheme="minorHAnsi" w:hAnsiTheme="minorHAnsi"/>
          <w:color w:val="000000" w:themeColor="text1"/>
          <w:sz w:val="20"/>
          <w:szCs w:val="20"/>
          <w:lang w:val="sr-Cyrl-BA" w:eastAsia="en-US"/>
        </w:rPr>
      </w:pPr>
      <w:r w:rsidRPr="00C120D5">
        <w:rPr>
          <w:rFonts w:asciiTheme="minorHAnsi" w:eastAsiaTheme="minorHAnsi" w:hAnsiTheme="minorHAnsi"/>
          <w:color w:val="000000" w:themeColor="text1"/>
          <w:sz w:val="20"/>
          <w:szCs w:val="20"/>
          <w:lang w:val="sr-Cyrl-BA" w:eastAsia="en-US"/>
        </w:rPr>
        <w:t xml:space="preserve">Garancije izdane u korist gore navedena tri finansijska posrednika čine više od tri četvrtine aktivnog portfelja pojedinačnih garancija (82,24%). Značajnije učešće ima i </w:t>
      </w:r>
      <w:r w:rsidRPr="00C120D5">
        <w:rPr>
          <w:rFonts w:asciiTheme="minorHAnsi" w:hAnsiTheme="minorHAnsi"/>
          <w:color w:val="000000" w:themeColor="text1"/>
          <w:sz w:val="20"/>
          <w:szCs w:val="20"/>
          <w:lang w:val="sr-Latn-RS"/>
        </w:rPr>
        <w:t>Fond za razvoj i zapošljavanje RS a.d. Banja Luka</w:t>
      </w:r>
      <w:r w:rsidRPr="00C120D5">
        <w:rPr>
          <w:rFonts w:asciiTheme="minorHAnsi" w:eastAsiaTheme="minorHAnsi" w:hAnsiTheme="minorHAnsi"/>
          <w:color w:val="000000" w:themeColor="text1"/>
          <w:sz w:val="20"/>
          <w:szCs w:val="20"/>
          <w:lang w:val="sr-Cyrl-BA" w:eastAsia="en-US"/>
        </w:rPr>
        <w:t xml:space="preserve"> (5,63%), dok ostalih 6 banka ima vrlo nisko učešće koje se kreće u rasponu od 0,36% do 4,47% po banci, kako je i prikazano u tabeli </w:t>
      </w:r>
      <w:r>
        <w:rPr>
          <w:rFonts w:asciiTheme="minorHAnsi" w:eastAsiaTheme="minorHAnsi" w:hAnsiTheme="minorHAnsi"/>
          <w:color w:val="000000" w:themeColor="text1"/>
          <w:sz w:val="20"/>
          <w:szCs w:val="20"/>
          <w:lang w:val="sr-Cyrl-BA" w:eastAsia="en-US"/>
        </w:rPr>
        <w:t>4</w:t>
      </w:r>
      <w:r w:rsidRPr="00C120D5">
        <w:rPr>
          <w:rFonts w:asciiTheme="minorHAnsi" w:eastAsiaTheme="minorHAnsi" w:hAnsiTheme="minorHAnsi"/>
          <w:color w:val="000000" w:themeColor="text1"/>
          <w:sz w:val="20"/>
          <w:szCs w:val="20"/>
          <w:lang w:val="sr-Cyrl-BA" w:eastAsia="en-US"/>
        </w:rPr>
        <w:t>.</w:t>
      </w:r>
    </w:p>
    <w:p w:rsidR="005934B2" w:rsidRPr="00594C6E" w:rsidRDefault="005934B2" w:rsidP="00A401F8">
      <w:pPr>
        <w:autoSpaceDE w:val="0"/>
        <w:autoSpaceDN w:val="0"/>
        <w:adjustRightInd w:val="0"/>
        <w:rPr>
          <w:rFonts w:asciiTheme="minorHAnsi" w:eastAsiaTheme="minorHAnsi" w:hAnsiTheme="minorHAnsi"/>
          <w:color w:val="000000" w:themeColor="text1"/>
          <w:sz w:val="20"/>
          <w:szCs w:val="20"/>
          <w:lang w:val="sr-Cyrl-BA" w:eastAsia="en-US"/>
        </w:rPr>
      </w:pPr>
    </w:p>
    <w:p w:rsidR="005934B2" w:rsidRPr="00412718" w:rsidRDefault="005934B2" w:rsidP="00A401F8">
      <w:pPr>
        <w:pStyle w:val="Default"/>
        <w:jc w:val="both"/>
        <w:rPr>
          <w:rFonts w:asciiTheme="minorHAnsi" w:hAnsiTheme="minorHAnsi" w:cs="Times New Roman"/>
          <w:color w:val="000000" w:themeColor="text1"/>
          <w:sz w:val="20"/>
          <w:szCs w:val="20"/>
          <w:lang w:val="sr-Cyrl-RS"/>
        </w:rPr>
      </w:pPr>
      <w:r w:rsidRPr="00594C6E">
        <w:rPr>
          <w:rFonts w:asciiTheme="minorHAnsi" w:hAnsiTheme="minorHAnsi" w:cs="Times New Roman"/>
          <w:color w:val="000000" w:themeColor="text1"/>
          <w:sz w:val="20"/>
          <w:szCs w:val="20"/>
          <w:lang w:val="sr-Cyrl-RS"/>
        </w:rPr>
        <w:t xml:space="preserve">Poslednja kolona tabele </w:t>
      </w:r>
      <w:r>
        <w:rPr>
          <w:rFonts w:asciiTheme="minorHAnsi" w:hAnsiTheme="minorHAnsi" w:cs="Times New Roman"/>
          <w:color w:val="000000" w:themeColor="text1"/>
          <w:sz w:val="20"/>
          <w:szCs w:val="20"/>
          <w:lang w:val="sr-Cyrl-RS"/>
        </w:rPr>
        <w:t>4</w:t>
      </w:r>
      <w:r w:rsidRPr="00594C6E">
        <w:rPr>
          <w:rFonts w:asciiTheme="minorHAnsi" w:hAnsiTheme="minorHAnsi" w:cs="Times New Roman"/>
          <w:color w:val="000000" w:themeColor="text1"/>
          <w:sz w:val="20"/>
          <w:szCs w:val="20"/>
          <w:lang w:val="sr-Cyrl-RS"/>
        </w:rPr>
        <w:t xml:space="preserve"> prikazuje stopu izloženosti prema svakom finansijskom posredniku po osnovu pojedinačnih garancija, prikazanu odnosnom trenutne izloženosti i maksimalno dozvoljene izloženosti</w:t>
      </w:r>
      <w:r>
        <w:rPr>
          <w:rFonts w:asciiTheme="minorHAnsi" w:hAnsiTheme="minorHAnsi" w:cs="Times New Roman"/>
          <w:color w:val="000000" w:themeColor="text1"/>
          <w:sz w:val="20"/>
          <w:szCs w:val="20"/>
          <w:lang w:val="sr-Cyrl-RS"/>
        </w:rPr>
        <w:t>. Član 14, stav 3 Zakona o Gar</w:t>
      </w:r>
      <w:r w:rsidRPr="00594C6E">
        <w:rPr>
          <w:rFonts w:asciiTheme="minorHAnsi" w:hAnsiTheme="minorHAnsi" w:cs="Times New Roman"/>
          <w:color w:val="000000" w:themeColor="text1"/>
          <w:sz w:val="20"/>
          <w:szCs w:val="20"/>
          <w:lang w:val="sr-Cyrl-RS"/>
        </w:rPr>
        <w:t>ant</w:t>
      </w:r>
      <w:r>
        <w:rPr>
          <w:rFonts w:asciiTheme="minorHAnsi" w:hAnsiTheme="minorHAnsi" w:cs="Times New Roman"/>
          <w:color w:val="000000" w:themeColor="text1"/>
          <w:sz w:val="20"/>
          <w:szCs w:val="20"/>
          <w:lang w:val="sr-Cyrl-RS"/>
        </w:rPr>
        <w:t>n</w:t>
      </w:r>
      <w:r w:rsidRPr="00594C6E">
        <w:rPr>
          <w:rFonts w:asciiTheme="minorHAnsi" w:hAnsiTheme="minorHAnsi" w:cs="Times New Roman"/>
          <w:color w:val="000000" w:themeColor="text1"/>
          <w:sz w:val="20"/>
          <w:szCs w:val="20"/>
          <w:lang w:val="sr-Cyrl-RS"/>
        </w:rPr>
        <w:t>om fondu propisuje da ukupan iznos garantovanih obaveza prema finansijskom posredniku ne može biti veći od 30% garantnog potencijala Fonda, odnosno 27.000.000,00 KM u apsolutnom iznosu. Trenutna izloženost po osnovu pojedinačnih garancija je najveća prema MF banci a.d. Banja Luka i iznosi 18,25%. Izloženost prema svim bankama je znatno ispod nivoa maksimalne izloženosti koju propisuje Zakon.</w:t>
      </w:r>
      <w:bookmarkStart w:id="7" w:name="_Toc135292170"/>
    </w:p>
    <w:p w:rsidR="005934B2" w:rsidRDefault="005934B2" w:rsidP="00A401F8">
      <w:pPr>
        <w:pStyle w:val="Heading2"/>
        <w:numPr>
          <w:ilvl w:val="0"/>
          <w:numId w:val="0"/>
        </w:numPr>
        <w:rPr>
          <w:rFonts w:asciiTheme="minorHAnsi" w:hAnsiTheme="minorHAnsi"/>
          <w:b/>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Default="005934B2" w:rsidP="00A401F8">
      <w:pPr>
        <w:pStyle w:val="Heading2"/>
        <w:numPr>
          <w:ilvl w:val="0"/>
          <w:numId w:val="0"/>
        </w:numPr>
        <w:rPr>
          <w:rFonts w:asciiTheme="minorHAnsi" w:hAnsiTheme="minorHAnsi"/>
          <w:color w:val="000000" w:themeColor="text1"/>
          <w:szCs w:val="20"/>
          <w:lang w:val="sr-Cyrl-RS"/>
        </w:rPr>
      </w:pPr>
    </w:p>
    <w:p w:rsidR="005934B2" w:rsidRPr="00D01BB3" w:rsidRDefault="005934B2" w:rsidP="00A401F8">
      <w:pPr>
        <w:pStyle w:val="Heading2"/>
        <w:numPr>
          <w:ilvl w:val="0"/>
          <w:numId w:val="0"/>
        </w:numPr>
        <w:rPr>
          <w:rFonts w:asciiTheme="minorHAnsi" w:hAnsiTheme="minorHAnsi"/>
          <w:color w:val="000000" w:themeColor="text1"/>
          <w:szCs w:val="20"/>
        </w:rPr>
      </w:pPr>
      <w:r w:rsidRPr="00D01BB3">
        <w:rPr>
          <w:rFonts w:asciiTheme="minorHAnsi" w:hAnsiTheme="minorHAnsi"/>
          <w:color w:val="000000" w:themeColor="text1"/>
          <w:szCs w:val="20"/>
          <w:lang w:val="sr-Cyrl-RS"/>
        </w:rPr>
        <w:t xml:space="preserve">2.2 </w:t>
      </w:r>
      <w:r w:rsidRPr="00D01BB3">
        <w:rPr>
          <w:rFonts w:asciiTheme="minorHAnsi" w:hAnsiTheme="minorHAnsi"/>
          <w:color w:val="000000" w:themeColor="text1"/>
          <w:szCs w:val="20"/>
        </w:rPr>
        <w:t xml:space="preserve">ANALIZA IZDANIH GARANCIJA </w:t>
      </w:r>
      <w:r w:rsidRPr="00D01BB3">
        <w:rPr>
          <w:rFonts w:asciiTheme="minorHAnsi" w:hAnsiTheme="minorHAnsi"/>
          <w:color w:val="000000" w:themeColor="text1"/>
          <w:szCs w:val="20"/>
          <w:lang w:val="sr-Cyrl-RS"/>
        </w:rPr>
        <w:t>U OKVIRU</w:t>
      </w:r>
      <w:r w:rsidRPr="00D01BB3">
        <w:rPr>
          <w:rFonts w:asciiTheme="minorHAnsi" w:hAnsiTheme="minorHAnsi"/>
          <w:color w:val="000000" w:themeColor="text1"/>
          <w:szCs w:val="20"/>
        </w:rPr>
        <w:t xml:space="preserve"> KREDIT</w:t>
      </w:r>
      <w:r w:rsidRPr="00D01BB3">
        <w:rPr>
          <w:rFonts w:asciiTheme="minorHAnsi" w:hAnsiTheme="minorHAnsi"/>
          <w:color w:val="000000" w:themeColor="text1"/>
          <w:szCs w:val="20"/>
          <w:lang w:val="sr-Cyrl-RS"/>
        </w:rPr>
        <w:t>NOG</w:t>
      </w:r>
      <w:r w:rsidRPr="00D01BB3">
        <w:rPr>
          <w:rFonts w:asciiTheme="minorHAnsi" w:hAnsiTheme="minorHAnsi"/>
          <w:color w:val="000000" w:themeColor="text1"/>
          <w:szCs w:val="20"/>
        </w:rPr>
        <w:t xml:space="preserve"> PORTF</w:t>
      </w:r>
      <w:r w:rsidRPr="00D01BB3">
        <w:rPr>
          <w:rFonts w:asciiTheme="minorHAnsi" w:hAnsiTheme="minorHAnsi"/>
          <w:color w:val="000000" w:themeColor="text1"/>
          <w:szCs w:val="20"/>
          <w:lang w:val="sr-Cyrl-RS"/>
        </w:rPr>
        <w:t>ELjA</w:t>
      </w:r>
      <w:r w:rsidRPr="00D01BB3">
        <w:rPr>
          <w:rFonts w:asciiTheme="minorHAnsi" w:hAnsiTheme="minorHAnsi"/>
          <w:color w:val="000000" w:themeColor="text1"/>
          <w:szCs w:val="20"/>
        </w:rPr>
        <w:t xml:space="preserve"> </w:t>
      </w:r>
      <w:bookmarkEnd w:id="7"/>
    </w:p>
    <w:p w:rsidR="005934B2" w:rsidRPr="00036827" w:rsidRDefault="005934B2" w:rsidP="00A401F8">
      <w:pPr>
        <w:pStyle w:val="Heading2"/>
        <w:numPr>
          <w:ilvl w:val="0"/>
          <w:numId w:val="0"/>
        </w:numPr>
        <w:ind w:left="576"/>
        <w:rPr>
          <w:rFonts w:asciiTheme="minorHAnsi" w:hAnsiTheme="minorHAnsi"/>
          <w:b/>
          <w:szCs w:val="20"/>
        </w:rPr>
      </w:pPr>
    </w:p>
    <w:p w:rsidR="005934B2" w:rsidRDefault="005934B2" w:rsidP="00A401F8">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O</w:t>
      </w:r>
      <w:r w:rsidRPr="005767EF">
        <w:rPr>
          <w:rFonts w:asciiTheme="minorHAnsi" w:hAnsiTheme="minorHAnsi" w:cs="Times New Roman"/>
          <w:color w:val="auto"/>
          <w:sz w:val="20"/>
          <w:szCs w:val="20"/>
          <w:lang w:val="sr-Cyrl-BA"/>
        </w:rPr>
        <w:t>dredbama člana 2 Zakona o izmjenama i dopunama Zakona o Ga</w:t>
      </w:r>
      <w:r>
        <w:rPr>
          <w:rFonts w:asciiTheme="minorHAnsi" w:hAnsiTheme="minorHAnsi" w:cs="Times New Roman"/>
          <w:color w:val="auto"/>
          <w:sz w:val="20"/>
          <w:szCs w:val="20"/>
          <w:lang w:val="sr-Cyrl-BA"/>
        </w:rPr>
        <w:t>rantnom fondu Republike Srpske (</w:t>
      </w:r>
      <w:r w:rsidRPr="005767EF">
        <w:rPr>
          <w:rFonts w:asciiTheme="minorHAnsi" w:hAnsiTheme="minorHAnsi" w:cs="Times New Roman"/>
          <w:color w:val="auto"/>
          <w:sz w:val="20"/>
          <w:szCs w:val="20"/>
          <w:lang w:val="sr-Cyrl-BA"/>
        </w:rPr>
        <w:t>„Službeni glasnik Republike Srpske</w:t>
      </w:r>
      <w:r>
        <w:rPr>
          <w:rFonts w:asciiTheme="minorHAnsi" w:hAnsiTheme="minorHAnsi" w:cs="Times New Roman"/>
          <w:color w:val="auto"/>
          <w:sz w:val="20"/>
          <w:szCs w:val="20"/>
          <w:lang w:val="sr-Cyrl-BA"/>
        </w:rPr>
        <w:t>“ broj 107/19</w:t>
      </w:r>
      <w:r w:rsidRPr="005767EF">
        <w:rPr>
          <w:rFonts w:asciiTheme="minorHAnsi" w:hAnsiTheme="minorHAnsi" w:cs="Times New Roman"/>
          <w:color w:val="auto"/>
          <w:sz w:val="20"/>
          <w:szCs w:val="20"/>
          <w:lang w:val="sr-Cyrl-BA"/>
        </w:rPr>
        <w:t xml:space="preserve">)  </w:t>
      </w:r>
      <w:r w:rsidRPr="005767EF">
        <w:rPr>
          <w:rFonts w:asciiTheme="minorHAnsi" w:hAnsiTheme="minorHAnsi" w:cs="Times New Roman"/>
          <w:color w:val="000000" w:themeColor="text1"/>
          <w:sz w:val="20"/>
          <w:szCs w:val="20"/>
          <w:lang w:val="sr-Cyrl-BA"/>
        </w:rPr>
        <w:t>i člana 2</w:t>
      </w:r>
      <w:r>
        <w:rPr>
          <w:rFonts w:asciiTheme="minorHAnsi" w:hAnsiTheme="minorHAnsi" w:cs="Times New Roman"/>
          <w:color w:val="000000" w:themeColor="text1"/>
          <w:sz w:val="20"/>
          <w:szCs w:val="20"/>
          <w:lang w:val="sr-Cyrl-BA"/>
        </w:rPr>
        <w:t>,</w:t>
      </w:r>
      <w:r w:rsidRPr="005767EF">
        <w:rPr>
          <w:rFonts w:asciiTheme="minorHAnsi" w:hAnsiTheme="minorHAnsi" w:cs="Times New Roman"/>
          <w:color w:val="000000" w:themeColor="text1"/>
          <w:sz w:val="20"/>
          <w:szCs w:val="20"/>
          <w:lang w:val="sr-Cyrl-BA"/>
        </w:rPr>
        <w:t xml:space="preserve"> stav 3 Pravilnika o odobravanju garancija (</w:t>
      </w:r>
      <w:r w:rsidRPr="005767EF">
        <w:rPr>
          <w:rFonts w:asciiTheme="minorHAnsi" w:hAnsiTheme="minorHAnsi" w:cs="Times New Roman"/>
          <w:noProof/>
          <w:sz w:val="20"/>
          <w:szCs w:val="20"/>
          <w:lang w:val="sr-Cyrl-RS"/>
        </w:rPr>
        <w:t>„Službeni glasnik Republike Srpske“, broj 14</w:t>
      </w:r>
      <w:r w:rsidRPr="005767EF">
        <w:rPr>
          <w:rFonts w:asciiTheme="minorHAnsi" w:hAnsiTheme="minorHAnsi" w:cs="Times New Roman"/>
          <w:noProof/>
          <w:sz w:val="20"/>
          <w:szCs w:val="20"/>
        </w:rPr>
        <w:t>/</w:t>
      </w:r>
      <w:r w:rsidRPr="005767EF">
        <w:rPr>
          <w:rFonts w:asciiTheme="minorHAnsi" w:hAnsiTheme="minorHAnsi" w:cs="Times New Roman"/>
          <w:noProof/>
          <w:sz w:val="20"/>
          <w:szCs w:val="20"/>
          <w:lang w:val="sr-Cyrl-BA"/>
        </w:rPr>
        <w:t>21</w:t>
      </w:r>
      <w:r>
        <w:rPr>
          <w:rFonts w:asciiTheme="minorHAnsi" w:hAnsiTheme="minorHAnsi" w:cs="Times New Roman"/>
          <w:noProof/>
          <w:sz w:val="20"/>
          <w:szCs w:val="20"/>
          <w:lang w:val="sr-Cyrl-RS"/>
        </w:rPr>
        <w:t xml:space="preserve">) </w:t>
      </w:r>
      <w:r w:rsidRPr="005767EF">
        <w:rPr>
          <w:rFonts w:asciiTheme="minorHAnsi" w:hAnsiTheme="minorHAnsi" w:cs="Times New Roman"/>
          <w:noProof/>
          <w:sz w:val="20"/>
          <w:szCs w:val="20"/>
          <w:lang w:val="sr-Cyrl-RS"/>
        </w:rPr>
        <w:t xml:space="preserve">je </w:t>
      </w:r>
      <w:r w:rsidRPr="005767EF">
        <w:rPr>
          <w:rFonts w:asciiTheme="minorHAnsi" w:hAnsiTheme="minorHAnsi" w:cs="Times New Roman"/>
          <w:color w:val="auto"/>
          <w:sz w:val="20"/>
          <w:szCs w:val="20"/>
          <w:lang w:val="sr-Cyrl-BA"/>
        </w:rPr>
        <w:t>definisano  da Garantni fond</w:t>
      </w:r>
      <w:r w:rsidRPr="005767EF">
        <w:rPr>
          <w:rFonts w:asciiTheme="minorHAnsi" w:hAnsiTheme="minorHAnsi" w:cs="Times New Roman"/>
          <w:color w:val="auto"/>
          <w:sz w:val="20"/>
          <w:szCs w:val="20"/>
        </w:rPr>
        <w:t xml:space="preserve"> može, pored garantovanja konkretne finansijske obaveze p</w:t>
      </w:r>
      <w:r w:rsidRPr="005767EF">
        <w:rPr>
          <w:rFonts w:asciiTheme="minorHAnsi" w:hAnsiTheme="minorHAnsi" w:cs="Times New Roman"/>
          <w:color w:val="auto"/>
          <w:sz w:val="20"/>
          <w:szCs w:val="20"/>
          <w:lang w:val="sr-Cyrl-BA"/>
        </w:rPr>
        <w:t>re</w:t>
      </w:r>
      <w:r w:rsidRPr="005767EF">
        <w:rPr>
          <w:rFonts w:asciiTheme="minorHAnsi" w:hAnsiTheme="minorHAnsi" w:cs="Times New Roman"/>
          <w:color w:val="auto"/>
          <w:sz w:val="20"/>
          <w:szCs w:val="20"/>
        </w:rPr>
        <w:t>duzetnika, izdavati garancije za obezbjeđenje dijela obaveza iz portfelja kredita, ugovorenih između preduzetnika i banke ili druge finansijske organizacije</w:t>
      </w:r>
      <w:r w:rsidRPr="005767EF">
        <w:rPr>
          <w:rFonts w:asciiTheme="minorHAnsi" w:hAnsiTheme="minorHAnsi" w:cs="Times New Roman"/>
          <w:color w:val="auto"/>
          <w:sz w:val="20"/>
          <w:szCs w:val="20"/>
          <w:lang w:val="sr-Cyrl-BA"/>
        </w:rPr>
        <w:t xml:space="preserve"> uz</w:t>
      </w:r>
      <w:r>
        <w:rPr>
          <w:rFonts w:asciiTheme="minorHAnsi" w:hAnsiTheme="minorHAnsi" w:cs="Times New Roman"/>
          <w:color w:val="auto"/>
          <w:sz w:val="20"/>
          <w:szCs w:val="20"/>
          <w:lang w:val="sr-Cyrl-BA"/>
        </w:rPr>
        <w:t xml:space="preserve"> garantovanje kreditnog rizika do 25</w:t>
      </w:r>
      <w:r w:rsidRPr="005767EF">
        <w:rPr>
          <w:rFonts w:asciiTheme="minorHAnsi" w:hAnsiTheme="minorHAnsi" w:cs="Times New Roman"/>
          <w:color w:val="auto"/>
          <w:sz w:val="20"/>
          <w:szCs w:val="20"/>
          <w:lang w:val="sr-Cyrl-BA"/>
        </w:rPr>
        <w:t>% izloženosti riziku na nivou portfelja</w:t>
      </w:r>
      <w:r>
        <w:rPr>
          <w:rFonts w:asciiTheme="minorHAnsi" w:hAnsiTheme="minorHAnsi" w:cs="Times New Roman"/>
          <w:color w:val="auto"/>
          <w:sz w:val="20"/>
          <w:szCs w:val="20"/>
          <w:lang w:val="sr-Cyrl-BA"/>
        </w:rPr>
        <w:t xml:space="preserve">. </w:t>
      </w:r>
    </w:p>
    <w:p w:rsidR="005934B2" w:rsidRDefault="005934B2" w:rsidP="00A401F8">
      <w:pPr>
        <w:pStyle w:val="Default"/>
        <w:jc w:val="both"/>
        <w:rPr>
          <w:rFonts w:asciiTheme="minorHAnsi" w:hAnsiTheme="minorHAnsi" w:cs="Times New Roman"/>
          <w:color w:val="auto"/>
          <w:sz w:val="20"/>
          <w:szCs w:val="20"/>
          <w:lang w:val="sr-Cyrl-BA"/>
        </w:rPr>
      </w:pPr>
    </w:p>
    <w:p w:rsidR="005934B2" w:rsidRPr="00AB1552" w:rsidRDefault="005934B2" w:rsidP="00A401F8">
      <w:pPr>
        <w:pStyle w:val="Default"/>
        <w:jc w:val="both"/>
        <w:rPr>
          <w:rFonts w:asciiTheme="minorHAnsi" w:hAnsiTheme="minorHAnsi" w:cs="Times New Roman"/>
          <w:color w:val="auto"/>
          <w:sz w:val="20"/>
          <w:szCs w:val="20"/>
          <w:lang w:val="sr-Cyrl-RS"/>
        </w:rPr>
      </w:pPr>
      <w:r w:rsidRPr="00C81AA1">
        <w:rPr>
          <w:rFonts w:asciiTheme="minorHAnsi" w:hAnsiTheme="minorHAnsi" w:cs="Times New Roman"/>
          <w:color w:val="auto"/>
          <w:sz w:val="20"/>
          <w:szCs w:val="20"/>
          <w:lang w:val="sr-Cyrl-BA"/>
        </w:rPr>
        <w:t xml:space="preserve">Garantni fond Republike Srpske je </w:t>
      </w:r>
      <w:r w:rsidRPr="00C81AA1">
        <w:rPr>
          <w:rFonts w:asciiTheme="minorHAnsi" w:hAnsiTheme="minorHAnsi" w:cs="Times New Roman"/>
          <w:color w:val="auto"/>
          <w:sz w:val="20"/>
          <w:szCs w:val="20"/>
          <w:lang w:val="sr-Cyrl-RS"/>
        </w:rPr>
        <w:t xml:space="preserve">do kraja 2024. godine </w:t>
      </w:r>
      <w:r w:rsidRPr="00C81AA1">
        <w:rPr>
          <w:rFonts w:asciiTheme="minorHAnsi" w:hAnsiTheme="minorHAnsi" w:cs="Times New Roman"/>
          <w:color w:val="auto"/>
          <w:sz w:val="20"/>
          <w:szCs w:val="20"/>
          <w:lang w:val="sr-Cyrl-BA"/>
        </w:rPr>
        <w:t xml:space="preserve">potpisao ugovore o garantovanju kreditnog portfelja sa </w:t>
      </w:r>
      <w:r>
        <w:rPr>
          <w:rFonts w:asciiTheme="minorHAnsi" w:hAnsiTheme="minorHAnsi" w:cs="Times New Roman"/>
          <w:color w:val="auto"/>
          <w:sz w:val="20"/>
          <w:szCs w:val="20"/>
          <w:lang w:val="sr-Cyrl-BA"/>
        </w:rPr>
        <w:t>6</w:t>
      </w:r>
      <w:r w:rsidRPr="00C81AA1">
        <w:rPr>
          <w:rFonts w:asciiTheme="minorHAnsi" w:hAnsiTheme="minorHAnsi" w:cs="Times New Roman"/>
          <w:color w:val="auto"/>
          <w:sz w:val="20"/>
          <w:szCs w:val="20"/>
          <w:lang w:val="sr-Cyrl-BA"/>
        </w:rPr>
        <w:t xml:space="preserve"> finansijskih </w:t>
      </w:r>
      <w:r w:rsidRPr="00E04851">
        <w:rPr>
          <w:rFonts w:asciiTheme="minorHAnsi" w:hAnsiTheme="minorHAnsi" w:cs="Times New Roman"/>
          <w:color w:val="auto"/>
          <w:sz w:val="20"/>
          <w:szCs w:val="20"/>
          <w:lang w:val="sr-Cyrl-BA"/>
        </w:rPr>
        <w:t>posrednika</w:t>
      </w:r>
      <w:r>
        <w:rPr>
          <w:rFonts w:asciiTheme="minorHAnsi" w:hAnsiTheme="minorHAnsi" w:cs="Times New Roman"/>
          <w:color w:val="auto"/>
          <w:sz w:val="20"/>
          <w:szCs w:val="20"/>
          <w:lang w:val="sr-Cyrl-BA"/>
        </w:rPr>
        <w:t>, od čega pet banaka, jednim mikro-kreditnim društvom</w:t>
      </w:r>
      <w:r w:rsidRPr="00E04851">
        <w:rPr>
          <w:rFonts w:asciiTheme="minorHAnsi" w:hAnsiTheme="minorHAnsi" w:cs="Times New Roman"/>
          <w:color w:val="auto"/>
          <w:sz w:val="20"/>
          <w:szCs w:val="20"/>
          <w:lang w:val="sr-Cyrl-BA"/>
        </w:rPr>
        <w:t xml:space="preserve">: PROCREDIT BANK d.d. Bosna i Hercegovina, UNICREDIT BANK a.d. </w:t>
      </w:r>
      <w:r w:rsidRPr="00E04851">
        <w:rPr>
          <w:rFonts w:asciiTheme="minorHAnsi" w:hAnsiTheme="minorHAnsi" w:cs="Times New Roman"/>
          <w:color w:val="auto"/>
          <w:sz w:val="20"/>
          <w:szCs w:val="20"/>
          <w:lang w:val="sr-Cyrl-RS"/>
        </w:rPr>
        <w:t>B</w:t>
      </w:r>
      <w:r w:rsidRPr="00E04851">
        <w:rPr>
          <w:rFonts w:asciiTheme="minorHAnsi" w:hAnsiTheme="minorHAnsi" w:cs="Times New Roman"/>
          <w:color w:val="auto"/>
          <w:sz w:val="20"/>
          <w:szCs w:val="20"/>
          <w:lang w:val="sr-Cyrl-BA"/>
        </w:rPr>
        <w:t xml:space="preserve">anja Luka, MF BANKA a.d. Banja Luka, Nova banka a.d. Banja Luka, </w:t>
      </w:r>
      <w:r w:rsidRPr="00E04851">
        <w:rPr>
          <w:rFonts w:asciiTheme="minorHAnsi" w:hAnsiTheme="minorHAnsi" w:cs="Times New Roman"/>
          <w:color w:val="auto"/>
          <w:sz w:val="20"/>
          <w:szCs w:val="20"/>
        </w:rPr>
        <w:t xml:space="preserve">SPARKASSE BANK </w:t>
      </w:r>
      <w:r w:rsidRPr="00E04851">
        <w:rPr>
          <w:rFonts w:asciiTheme="minorHAnsi" w:hAnsiTheme="minorHAnsi" w:cs="Times New Roman"/>
          <w:color w:val="auto"/>
          <w:sz w:val="20"/>
          <w:szCs w:val="20"/>
          <w:lang w:val="sr-Cyrl-RS"/>
        </w:rPr>
        <w:t xml:space="preserve">d.d. Bosna i Hercegovina i MKD Taurus d.o.o. Banja Luka. Sa Procredit </w:t>
      </w:r>
      <w:r>
        <w:rPr>
          <w:rFonts w:asciiTheme="minorHAnsi" w:hAnsiTheme="minorHAnsi" w:cs="Times New Roman"/>
          <w:color w:val="auto"/>
          <w:sz w:val="20"/>
          <w:szCs w:val="20"/>
          <w:lang w:val="sr-Cyrl-RS"/>
        </w:rPr>
        <w:t xml:space="preserve">i </w:t>
      </w:r>
      <w:r>
        <w:rPr>
          <w:rFonts w:asciiTheme="minorHAnsi" w:hAnsiTheme="minorHAnsi"/>
          <w:sz w:val="20"/>
          <w:szCs w:val="20"/>
        </w:rPr>
        <w:t xml:space="preserve">Unicredit </w:t>
      </w:r>
      <w:r>
        <w:rPr>
          <w:rFonts w:asciiTheme="minorHAnsi" w:hAnsiTheme="minorHAnsi"/>
          <w:sz w:val="20"/>
          <w:szCs w:val="20"/>
          <w:lang w:val="sr-Cyrl-RS"/>
        </w:rPr>
        <w:t>bankom</w:t>
      </w:r>
      <w:r w:rsidRPr="00C81AA1">
        <w:rPr>
          <w:rFonts w:asciiTheme="minorHAnsi" w:hAnsiTheme="minorHAnsi"/>
          <w:sz w:val="20"/>
          <w:szCs w:val="20"/>
        </w:rPr>
        <w:t xml:space="preserve"> </w:t>
      </w:r>
      <w:r w:rsidRPr="00E04851">
        <w:rPr>
          <w:rFonts w:asciiTheme="minorHAnsi" w:hAnsiTheme="minorHAnsi" w:cs="Times New Roman"/>
          <w:color w:val="auto"/>
          <w:sz w:val="20"/>
          <w:szCs w:val="20"/>
          <w:lang w:val="sr-Cyrl-RS"/>
        </w:rPr>
        <w:t>je potpisan</w:t>
      </w:r>
      <w:r>
        <w:rPr>
          <w:rFonts w:asciiTheme="minorHAnsi" w:hAnsiTheme="minorHAnsi" w:cs="Times New Roman"/>
          <w:color w:val="auto"/>
          <w:sz w:val="20"/>
          <w:szCs w:val="20"/>
          <w:lang w:val="sr-Cyrl-RS"/>
        </w:rPr>
        <w:t xml:space="preserve"> i dodatni ugovor o garantovanju kreditnog portfelja koji se odnosi isključivo na projekte ulaganja u obnovljive izvore energije i energetsku efikasnost. Pored navedenog, ugovoren je i poseban triparitetni kreditni portfelj u kojem učestvuju  Garantni fond, Prokredit banka i Fondacija za razvoj grada Prijedora, a kojim je predviđena podrška privrednicima sa područja Prijedora.</w:t>
      </w:r>
    </w:p>
    <w:p w:rsidR="005934B2" w:rsidRPr="00A13C00" w:rsidRDefault="005934B2" w:rsidP="00A401F8">
      <w:pPr>
        <w:pStyle w:val="Default"/>
        <w:jc w:val="both"/>
        <w:rPr>
          <w:rFonts w:asciiTheme="minorHAnsi" w:hAnsiTheme="minorHAnsi" w:cs="Times New Roman"/>
          <w:color w:val="auto"/>
          <w:sz w:val="20"/>
          <w:szCs w:val="20"/>
          <w:lang w:val="sr-Cyrl-RS"/>
        </w:rPr>
      </w:pPr>
    </w:p>
    <w:p w:rsidR="005934B2" w:rsidRPr="00C779CA" w:rsidRDefault="005934B2" w:rsidP="00A401F8">
      <w:pPr>
        <w:pStyle w:val="Default"/>
        <w:jc w:val="center"/>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val="sr-Latn-RS" w:eastAsia="sr-Latn-RS"/>
        </w:rPr>
        <w:t>Pregled izdanih garancija</w:t>
      </w:r>
      <w:r>
        <w:rPr>
          <w:rFonts w:asciiTheme="minorHAnsi" w:hAnsiTheme="minorHAnsi" w:cs="Times New Roman"/>
          <w:b/>
          <w:bCs/>
          <w:sz w:val="20"/>
          <w:szCs w:val="20"/>
          <w:lang w:val="sr-Cyrl-RS" w:eastAsia="sr-Latn-RS"/>
        </w:rPr>
        <w:t xml:space="preserve"> u okviru kreditnog portfelja</w:t>
      </w:r>
      <w:r w:rsidRPr="005767EF">
        <w:rPr>
          <w:rFonts w:asciiTheme="minorHAnsi" w:hAnsiTheme="minorHAnsi" w:cs="Times New Roman"/>
          <w:b/>
          <w:bCs/>
          <w:sz w:val="20"/>
          <w:szCs w:val="20"/>
          <w:lang w:val="sr-Latn-RS" w:eastAsia="sr-Latn-RS"/>
        </w:rPr>
        <w:t xml:space="preserve"> </w:t>
      </w:r>
      <w:r>
        <w:rPr>
          <w:rFonts w:asciiTheme="minorHAnsi" w:hAnsiTheme="minorHAnsi" w:cs="Times New Roman"/>
          <w:b/>
          <w:bCs/>
          <w:sz w:val="20"/>
          <w:szCs w:val="20"/>
          <w:lang w:val="sr-Cyrl-RS" w:eastAsia="sr-Latn-RS"/>
        </w:rPr>
        <w:t>po finansijskim posrednicima u</w:t>
      </w:r>
      <w:r w:rsidRPr="005767EF">
        <w:rPr>
          <w:rFonts w:asciiTheme="minorHAnsi" w:hAnsiTheme="minorHAnsi" w:cs="Times New Roman"/>
          <w:b/>
          <w:bCs/>
          <w:sz w:val="20"/>
          <w:szCs w:val="20"/>
          <w:lang w:val="sr-Latn-RS" w:eastAsia="sr-Latn-RS"/>
        </w:rPr>
        <w:t xml:space="preserve"> period</w:t>
      </w:r>
      <w:r>
        <w:rPr>
          <w:rFonts w:asciiTheme="minorHAnsi" w:hAnsiTheme="minorHAnsi" w:cs="Times New Roman"/>
          <w:b/>
          <w:bCs/>
          <w:sz w:val="20"/>
          <w:szCs w:val="20"/>
          <w:lang w:val="sr-Cyrl-RS" w:eastAsia="sr-Latn-RS"/>
        </w:rPr>
        <w:t>u</w:t>
      </w:r>
      <w:r w:rsidRPr="005767EF">
        <w:rPr>
          <w:rFonts w:asciiTheme="minorHAnsi" w:hAnsiTheme="minorHAnsi" w:cs="Times New Roman"/>
          <w:b/>
          <w:bCs/>
          <w:sz w:val="20"/>
          <w:szCs w:val="20"/>
          <w:lang w:val="sr-Latn-RS" w:eastAsia="sr-Latn-RS"/>
        </w:rPr>
        <w:t xml:space="preserve"> 01.01.202</w:t>
      </w:r>
      <w:r>
        <w:rPr>
          <w:rFonts w:asciiTheme="minorHAnsi" w:hAnsiTheme="minorHAnsi" w:cs="Times New Roman"/>
          <w:b/>
          <w:bCs/>
          <w:sz w:val="20"/>
          <w:szCs w:val="20"/>
          <w:lang w:val="sr-Cyrl-RS" w:eastAsia="sr-Latn-RS"/>
        </w:rPr>
        <w:t>4</w:t>
      </w:r>
      <w:r w:rsidRPr="005767EF">
        <w:rPr>
          <w:rFonts w:asciiTheme="minorHAnsi" w:hAnsiTheme="minorHAnsi" w:cs="Times New Roman"/>
          <w:b/>
          <w:bCs/>
          <w:sz w:val="20"/>
          <w:szCs w:val="20"/>
          <w:lang w:val="sr-Latn-RS" w:eastAsia="sr-Latn-RS"/>
        </w:rPr>
        <w:t>. - 31.12.202</w:t>
      </w:r>
      <w:r>
        <w:rPr>
          <w:rFonts w:asciiTheme="minorHAnsi" w:hAnsiTheme="minorHAnsi" w:cs="Times New Roman"/>
          <w:b/>
          <w:bCs/>
          <w:sz w:val="20"/>
          <w:szCs w:val="20"/>
          <w:lang w:val="sr-Cyrl-RS" w:eastAsia="sr-Latn-RS"/>
        </w:rPr>
        <w:t>4</w:t>
      </w:r>
      <w:r>
        <w:rPr>
          <w:rFonts w:asciiTheme="minorHAnsi" w:hAnsiTheme="minorHAnsi" w:cs="Times New Roman"/>
          <w:b/>
          <w:bCs/>
          <w:sz w:val="20"/>
          <w:szCs w:val="20"/>
          <w:lang w:val="sr-Latn-RS" w:eastAsia="sr-Latn-RS"/>
        </w:rPr>
        <w:t>. godine</w:t>
      </w:r>
    </w:p>
    <w:p w:rsidR="005934B2" w:rsidRPr="00854960" w:rsidRDefault="005934B2" w:rsidP="00A401F8">
      <w:pPr>
        <w:pStyle w:val="Default"/>
        <w:ind w:left="1416" w:hanging="1416"/>
        <w:jc w:val="both"/>
        <w:rPr>
          <w:rFonts w:asciiTheme="minorHAnsi" w:hAnsiTheme="minorHAnsi" w:cs="Times New Roman"/>
          <w:b/>
          <w:bCs/>
          <w:sz w:val="20"/>
          <w:szCs w:val="20"/>
          <w:lang w:val="sr-Cyrl-RS" w:eastAsia="sr-Latn-RS"/>
        </w:rPr>
      </w:pP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r>
      <w:r w:rsidRPr="005767EF">
        <w:rPr>
          <w:rFonts w:asciiTheme="minorHAnsi" w:hAnsiTheme="minorHAnsi" w:cs="Times New Roman"/>
          <w:b/>
          <w:bCs/>
          <w:sz w:val="20"/>
          <w:szCs w:val="20"/>
          <w:lang w:val="sr-Latn-RS" w:eastAsia="sr-Latn-RS"/>
        </w:rPr>
        <w:tab/>
        <w:t xml:space="preserve">        </w:t>
      </w:r>
      <w:r>
        <w:rPr>
          <w:rFonts w:asciiTheme="minorHAnsi" w:hAnsiTheme="minorHAnsi" w:cs="Times New Roman"/>
          <w:b/>
          <w:bCs/>
          <w:sz w:val="20"/>
          <w:szCs w:val="20"/>
          <w:lang w:val="sr-Cyrl-RS" w:eastAsia="sr-Latn-RS"/>
        </w:rPr>
        <w:t xml:space="preserve">                           </w:t>
      </w:r>
      <w:r>
        <w:rPr>
          <w:rFonts w:asciiTheme="minorHAnsi" w:hAnsiTheme="minorHAnsi" w:cs="Times New Roman"/>
          <w:b/>
          <w:bCs/>
          <w:sz w:val="20"/>
          <w:szCs w:val="20"/>
          <w:lang w:val="sr-Latn-RS" w:eastAsia="sr-Latn-RS"/>
        </w:rPr>
        <w:t>T</w:t>
      </w:r>
      <w:r>
        <w:rPr>
          <w:rFonts w:asciiTheme="minorHAnsi" w:hAnsiTheme="minorHAnsi" w:cs="Times New Roman"/>
          <w:b/>
          <w:bCs/>
          <w:sz w:val="20"/>
          <w:szCs w:val="20"/>
          <w:lang w:val="sr-Cyrl-RS" w:eastAsia="sr-Latn-RS"/>
        </w:rPr>
        <w:t>abela</w:t>
      </w:r>
      <w:r>
        <w:rPr>
          <w:rFonts w:asciiTheme="minorHAnsi" w:hAnsiTheme="minorHAnsi" w:cs="Times New Roman"/>
          <w:b/>
          <w:bCs/>
          <w:sz w:val="20"/>
          <w:szCs w:val="20"/>
          <w:lang w:val="sr-Latn-RS" w:eastAsia="sr-Latn-RS"/>
        </w:rPr>
        <w:t xml:space="preserve"> </w:t>
      </w:r>
      <w:r>
        <w:rPr>
          <w:rFonts w:asciiTheme="minorHAnsi" w:hAnsiTheme="minorHAnsi" w:cs="Times New Roman"/>
          <w:b/>
          <w:bCs/>
          <w:sz w:val="20"/>
          <w:szCs w:val="20"/>
          <w:lang w:val="sr-Cyrl-RS" w:eastAsia="sr-Latn-RS"/>
        </w:rPr>
        <w:t xml:space="preserve"> 5</w:t>
      </w:r>
    </w:p>
    <w:tbl>
      <w:tblPr>
        <w:tblW w:w="8804" w:type="dxa"/>
        <w:tblInd w:w="93" w:type="dxa"/>
        <w:tblLayout w:type="fixed"/>
        <w:tblLook w:val="04A0" w:firstRow="1" w:lastRow="0" w:firstColumn="1" w:lastColumn="0" w:noHBand="0" w:noVBand="1"/>
      </w:tblPr>
      <w:tblGrid>
        <w:gridCol w:w="1218"/>
        <w:gridCol w:w="1491"/>
        <w:gridCol w:w="1275"/>
        <w:gridCol w:w="1276"/>
        <w:gridCol w:w="1276"/>
        <w:gridCol w:w="1276"/>
        <w:gridCol w:w="992"/>
      </w:tblGrid>
      <w:tr w:rsidR="005934B2" w:rsidRPr="00C81AA1" w:rsidTr="000366C5">
        <w:trPr>
          <w:trHeight w:val="945"/>
        </w:trPr>
        <w:tc>
          <w:tcPr>
            <w:tcW w:w="1218" w:type="dxa"/>
            <w:tcBorders>
              <w:top w:val="single" w:sz="4" w:space="0" w:color="auto"/>
              <w:left w:val="single" w:sz="4" w:space="0" w:color="auto"/>
              <w:bottom w:val="nil"/>
              <w:right w:val="single" w:sz="4" w:space="0" w:color="auto"/>
            </w:tcBorders>
            <w:shd w:val="clear" w:color="000000" w:fill="8DB4E2"/>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Finansijski posrednik</w:t>
            </w:r>
          </w:p>
        </w:tc>
        <w:tc>
          <w:tcPr>
            <w:tcW w:w="1491" w:type="dxa"/>
            <w:tcBorders>
              <w:top w:val="single" w:sz="4" w:space="0" w:color="auto"/>
              <w:left w:val="nil"/>
              <w:bottom w:val="single" w:sz="4" w:space="0" w:color="auto"/>
              <w:right w:val="single" w:sz="4" w:space="0" w:color="auto"/>
            </w:tcBorders>
            <w:shd w:val="clear" w:color="000000" w:fill="8DB4E2"/>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Portfelj</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5934B2" w:rsidRPr="00C81AA1" w:rsidRDefault="005934B2" w:rsidP="000366C5">
            <w:pPr>
              <w:ind w:right="-108"/>
              <w:jc w:val="center"/>
              <w:rPr>
                <w:rFonts w:ascii="Calibri" w:hAnsi="Calibri"/>
                <w:b/>
                <w:bCs/>
                <w:sz w:val="16"/>
                <w:szCs w:val="16"/>
              </w:rPr>
            </w:pPr>
            <w:r w:rsidRPr="00C81AA1">
              <w:rPr>
                <w:rFonts w:ascii="Calibri" w:hAnsi="Calibri"/>
                <w:b/>
                <w:bCs/>
                <w:sz w:val="16"/>
                <w:szCs w:val="16"/>
              </w:rPr>
              <w:t>Ugovoreni obim kreditnog portfelja ( KM)</w:t>
            </w:r>
          </w:p>
        </w:tc>
        <w:tc>
          <w:tcPr>
            <w:tcW w:w="1276" w:type="dxa"/>
            <w:tcBorders>
              <w:top w:val="single" w:sz="4" w:space="0" w:color="auto"/>
              <w:left w:val="nil"/>
              <w:bottom w:val="nil"/>
              <w:right w:val="single" w:sz="4" w:space="0" w:color="auto"/>
            </w:tcBorders>
            <w:shd w:val="clear" w:color="000000" w:fill="8DB4E2"/>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Broj kredita</w:t>
            </w:r>
          </w:p>
        </w:tc>
        <w:tc>
          <w:tcPr>
            <w:tcW w:w="1276" w:type="dxa"/>
            <w:tcBorders>
              <w:top w:val="single" w:sz="4" w:space="0" w:color="auto"/>
              <w:left w:val="nil"/>
              <w:bottom w:val="nil"/>
              <w:right w:val="single" w:sz="4" w:space="0" w:color="auto"/>
            </w:tcBorders>
            <w:shd w:val="clear" w:color="000000" w:fill="8DB4E2"/>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Iznos kredita</w:t>
            </w:r>
          </w:p>
        </w:tc>
        <w:tc>
          <w:tcPr>
            <w:tcW w:w="1276" w:type="dxa"/>
            <w:tcBorders>
              <w:top w:val="single" w:sz="4" w:space="0" w:color="auto"/>
              <w:left w:val="nil"/>
              <w:bottom w:val="nil"/>
              <w:right w:val="single" w:sz="4" w:space="0" w:color="auto"/>
            </w:tcBorders>
            <w:shd w:val="clear" w:color="000000" w:fill="8DB4E2"/>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Iznos garancije</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5934B2" w:rsidRPr="00C81AA1" w:rsidRDefault="005934B2" w:rsidP="000366C5">
            <w:pPr>
              <w:ind w:right="-108"/>
              <w:jc w:val="center"/>
              <w:rPr>
                <w:rFonts w:ascii="Calibri" w:hAnsi="Calibri"/>
                <w:b/>
                <w:bCs/>
                <w:sz w:val="16"/>
                <w:szCs w:val="16"/>
              </w:rPr>
            </w:pPr>
            <w:r w:rsidRPr="00C81AA1">
              <w:rPr>
                <w:rFonts w:ascii="Calibri" w:hAnsi="Calibri"/>
                <w:b/>
                <w:bCs/>
                <w:sz w:val="16"/>
                <w:szCs w:val="16"/>
              </w:rPr>
              <w:t>Učešće u plasiranim garancijama</w:t>
            </w:r>
          </w:p>
        </w:tc>
      </w:tr>
      <w:tr w:rsidR="005934B2" w:rsidRPr="00C81AA1" w:rsidTr="000366C5">
        <w:trPr>
          <w:trHeight w:val="345"/>
        </w:trPr>
        <w:tc>
          <w:tcPr>
            <w:tcW w:w="12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Procredit bank d.d. Bosna i Hercegovina</w:t>
            </w: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Opšti portfelj</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40.000.000,00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9.560.000,00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4.780.000,00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30,57%</w:t>
            </w:r>
          </w:p>
        </w:tc>
      </w:tr>
      <w:tr w:rsidR="005934B2" w:rsidRPr="00C81AA1" w:rsidTr="000366C5">
        <w:trPr>
          <w:trHeight w:val="555"/>
        </w:trPr>
        <w:tc>
          <w:tcPr>
            <w:tcW w:w="1218" w:type="dxa"/>
            <w:vMerge/>
            <w:tcBorders>
              <w:top w:val="single" w:sz="4" w:space="0" w:color="auto"/>
              <w:left w:val="single" w:sz="4" w:space="0" w:color="auto"/>
              <w:bottom w:val="single" w:sz="4" w:space="0" w:color="auto"/>
              <w:right w:val="single" w:sz="4" w:space="0" w:color="auto"/>
            </w:tcBorders>
            <w:vAlign w:val="center"/>
            <w:hideMark/>
          </w:tcPr>
          <w:p w:rsidR="005934B2" w:rsidRPr="00C81AA1" w:rsidRDefault="005934B2" w:rsidP="000366C5">
            <w:pPr>
              <w:jc w:val="left"/>
              <w:rPr>
                <w:rFonts w:ascii="Calibri" w:hAnsi="Calibri"/>
                <w:sz w:val="16"/>
                <w:szCs w:val="16"/>
              </w:rPr>
            </w:pP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Portfelj za obnovljive izvore energije</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20.000.000,00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16</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6.673.000,00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3.336.500,00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21,34%</w:t>
            </w:r>
          </w:p>
        </w:tc>
      </w:tr>
      <w:tr w:rsidR="005934B2" w:rsidRPr="00C81AA1" w:rsidTr="000366C5">
        <w:trPr>
          <w:trHeight w:val="315"/>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 xml:space="preserve">UKUPNO </w:t>
            </w:r>
          </w:p>
        </w:tc>
        <w:tc>
          <w:tcPr>
            <w:tcW w:w="1275"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60.000.000,00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57</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16.233.000,00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8.116.500,00</w:t>
            </w:r>
          </w:p>
        </w:tc>
        <w:tc>
          <w:tcPr>
            <w:tcW w:w="992" w:type="dxa"/>
            <w:tcBorders>
              <w:top w:val="nil"/>
              <w:left w:val="nil"/>
              <w:bottom w:val="single" w:sz="4" w:space="0" w:color="auto"/>
              <w:right w:val="single" w:sz="4" w:space="0" w:color="auto"/>
            </w:tcBorders>
            <w:shd w:val="clear" w:color="000000" w:fill="C5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51,90%</w:t>
            </w:r>
          </w:p>
        </w:tc>
      </w:tr>
      <w:tr w:rsidR="005934B2" w:rsidRPr="00C81AA1" w:rsidTr="000366C5">
        <w:trPr>
          <w:trHeight w:val="360"/>
        </w:trPr>
        <w:tc>
          <w:tcPr>
            <w:tcW w:w="1218" w:type="dxa"/>
            <w:vMerge w:val="restart"/>
            <w:tcBorders>
              <w:top w:val="nil"/>
              <w:left w:val="single" w:sz="4" w:space="0" w:color="auto"/>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Unicredit bank a.d. Banja Luka</w:t>
            </w: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Opšti portfelj</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Pr>
                <w:rFonts w:ascii="Calibri" w:hAnsi="Calibri"/>
                <w:sz w:val="16"/>
                <w:szCs w:val="16"/>
                <w:lang w:val="sr-Cyrl-RS"/>
              </w:rPr>
              <w:t>4</w:t>
            </w:r>
            <w:r w:rsidRPr="00C81AA1">
              <w:rPr>
                <w:rFonts w:ascii="Calibri" w:hAnsi="Calibri"/>
                <w:sz w:val="16"/>
                <w:szCs w:val="16"/>
              </w:rPr>
              <w:t>0.000.000,00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25</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10.016.000,00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5.008.000,00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32,03%</w:t>
            </w:r>
          </w:p>
        </w:tc>
      </w:tr>
      <w:tr w:rsidR="005934B2" w:rsidRPr="00C81AA1" w:rsidTr="000366C5">
        <w:trPr>
          <w:trHeight w:val="315"/>
        </w:trPr>
        <w:tc>
          <w:tcPr>
            <w:tcW w:w="1218" w:type="dxa"/>
            <w:vMerge/>
            <w:tcBorders>
              <w:top w:val="nil"/>
              <w:left w:val="single" w:sz="4" w:space="0" w:color="auto"/>
              <w:bottom w:val="single" w:sz="4" w:space="0" w:color="auto"/>
              <w:right w:val="single" w:sz="4" w:space="0" w:color="auto"/>
            </w:tcBorders>
            <w:vAlign w:val="center"/>
            <w:hideMark/>
          </w:tcPr>
          <w:p w:rsidR="005934B2" w:rsidRPr="00C81AA1" w:rsidRDefault="005934B2" w:rsidP="000366C5">
            <w:pPr>
              <w:jc w:val="left"/>
              <w:rPr>
                <w:rFonts w:ascii="Calibri" w:hAnsi="Calibri"/>
                <w:sz w:val="16"/>
                <w:szCs w:val="16"/>
              </w:rPr>
            </w:pP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Portfelj za OIE</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Pr>
                <w:rFonts w:ascii="Calibri" w:hAnsi="Calibri"/>
                <w:sz w:val="16"/>
                <w:szCs w:val="16"/>
                <w:lang w:val="sr-Cyrl-RS"/>
              </w:rPr>
              <w:t>1</w:t>
            </w:r>
            <w:r w:rsidRPr="00C81AA1">
              <w:rPr>
                <w:rFonts w:ascii="Calibri" w:hAnsi="Calibri"/>
                <w:sz w:val="16"/>
                <w:szCs w:val="16"/>
              </w:rPr>
              <w:t>0.000.000,00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1.792.550,00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896.275,00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5,73%</w:t>
            </w:r>
          </w:p>
        </w:tc>
      </w:tr>
      <w:tr w:rsidR="005934B2" w:rsidRPr="00C81AA1" w:rsidTr="000366C5">
        <w:trPr>
          <w:trHeight w:val="24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UKUPNO</w:t>
            </w:r>
          </w:p>
        </w:tc>
        <w:tc>
          <w:tcPr>
            <w:tcW w:w="1275"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50.000.000,00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30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11.808.550,00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5.904.275,00</w:t>
            </w:r>
          </w:p>
        </w:tc>
        <w:tc>
          <w:tcPr>
            <w:tcW w:w="992" w:type="dxa"/>
            <w:tcBorders>
              <w:top w:val="nil"/>
              <w:left w:val="nil"/>
              <w:bottom w:val="single" w:sz="4" w:space="0" w:color="auto"/>
              <w:right w:val="single" w:sz="4" w:space="0" w:color="auto"/>
            </w:tcBorders>
            <w:shd w:val="clear" w:color="000000" w:fill="C5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37,76%</w:t>
            </w:r>
          </w:p>
        </w:tc>
      </w:tr>
      <w:tr w:rsidR="005934B2" w:rsidRPr="00C81AA1" w:rsidTr="000366C5">
        <w:trPr>
          <w:trHeight w:val="420"/>
        </w:trPr>
        <w:tc>
          <w:tcPr>
            <w:tcW w:w="1218" w:type="dxa"/>
            <w:tcBorders>
              <w:top w:val="nil"/>
              <w:left w:val="single" w:sz="4" w:space="0" w:color="auto"/>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SPARKASSE BANK d.d. Bosna i Hercegovina</w:t>
            </w: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Opšti portfelj</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10.000.000,00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10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3.123.000,00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bCs/>
                <w:sz w:val="16"/>
                <w:szCs w:val="16"/>
              </w:rPr>
            </w:pPr>
            <w:r w:rsidRPr="00C81AA1">
              <w:rPr>
                <w:rFonts w:ascii="Calibri" w:hAnsi="Calibri"/>
                <w:bCs/>
                <w:sz w:val="16"/>
                <w:szCs w:val="16"/>
              </w:rPr>
              <w:t>1.561.500,00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9,99%</w:t>
            </w:r>
          </w:p>
        </w:tc>
      </w:tr>
      <w:tr w:rsidR="005934B2" w:rsidRPr="00C81AA1" w:rsidTr="000366C5">
        <w:trPr>
          <w:trHeight w:val="24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UKUPNO</w:t>
            </w:r>
          </w:p>
        </w:tc>
        <w:tc>
          <w:tcPr>
            <w:tcW w:w="1275"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10.000.000,00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10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3.123.000,00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1.561.500,00</w:t>
            </w:r>
          </w:p>
        </w:tc>
        <w:tc>
          <w:tcPr>
            <w:tcW w:w="992" w:type="dxa"/>
            <w:tcBorders>
              <w:top w:val="nil"/>
              <w:left w:val="nil"/>
              <w:bottom w:val="single" w:sz="4" w:space="0" w:color="auto"/>
              <w:right w:val="single" w:sz="4" w:space="0" w:color="auto"/>
            </w:tcBorders>
            <w:shd w:val="clear" w:color="000000" w:fill="C5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9,99%</w:t>
            </w:r>
          </w:p>
        </w:tc>
      </w:tr>
      <w:tr w:rsidR="005934B2" w:rsidRPr="00C81AA1" w:rsidTr="000366C5">
        <w:trPr>
          <w:trHeight w:val="480"/>
        </w:trPr>
        <w:tc>
          <w:tcPr>
            <w:tcW w:w="1218" w:type="dxa"/>
            <w:tcBorders>
              <w:top w:val="nil"/>
              <w:left w:val="single" w:sz="4" w:space="0" w:color="auto"/>
              <w:bottom w:val="single" w:sz="4" w:space="0" w:color="auto"/>
              <w:right w:val="single" w:sz="4" w:space="0" w:color="auto"/>
            </w:tcBorders>
            <w:shd w:val="clear" w:color="auto" w:fill="auto"/>
            <w:vAlign w:val="center"/>
            <w:hideMark/>
          </w:tcPr>
          <w:p w:rsidR="005934B2" w:rsidRPr="00C81AA1" w:rsidRDefault="005934B2" w:rsidP="000366C5">
            <w:pPr>
              <w:ind w:right="-181"/>
              <w:jc w:val="left"/>
              <w:rPr>
                <w:rFonts w:ascii="Calibri" w:hAnsi="Calibri"/>
                <w:sz w:val="16"/>
                <w:szCs w:val="16"/>
              </w:rPr>
            </w:pPr>
            <w:r w:rsidRPr="00C81AA1">
              <w:rPr>
                <w:rFonts w:ascii="Calibri" w:hAnsi="Calibri"/>
                <w:sz w:val="16"/>
                <w:szCs w:val="16"/>
              </w:rPr>
              <w:t>MKD TAURUS d.o.o. Banja Luka</w:t>
            </w: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Opšti portfelj</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bCs/>
                <w:sz w:val="16"/>
                <w:szCs w:val="16"/>
              </w:rPr>
            </w:pPr>
            <w:r w:rsidRPr="00C81AA1">
              <w:rPr>
                <w:rFonts w:ascii="Calibri" w:hAnsi="Calibri"/>
                <w:bCs/>
                <w:sz w:val="16"/>
                <w:szCs w:val="16"/>
              </w:rPr>
              <w:t>500.000,00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65.000,00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32.500,00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0,21%</w:t>
            </w:r>
          </w:p>
        </w:tc>
      </w:tr>
      <w:tr w:rsidR="005934B2" w:rsidRPr="00C81AA1" w:rsidTr="000366C5">
        <w:trPr>
          <w:trHeight w:val="24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UKUPNO</w:t>
            </w:r>
          </w:p>
        </w:tc>
        <w:tc>
          <w:tcPr>
            <w:tcW w:w="1275"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500.000,00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2</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65.000,00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32.500,00</w:t>
            </w:r>
          </w:p>
        </w:tc>
        <w:tc>
          <w:tcPr>
            <w:tcW w:w="992" w:type="dxa"/>
            <w:tcBorders>
              <w:top w:val="nil"/>
              <w:left w:val="nil"/>
              <w:bottom w:val="single" w:sz="4" w:space="0" w:color="auto"/>
              <w:right w:val="single" w:sz="4" w:space="0" w:color="auto"/>
            </w:tcBorders>
            <w:shd w:val="clear" w:color="000000" w:fill="C5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0,21%</w:t>
            </w:r>
          </w:p>
        </w:tc>
      </w:tr>
      <w:tr w:rsidR="005934B2" w:rsidRPr="00C81AA1" w:rsidTr="000366C5">
        <w:trPr>
          <w:trHeight w:val="720"/>
        </w:trPr>
        <w:tc>
          <w:tcPr>
            <w:tcW w:w="1218" w:type="dxa"/>
            <w:tcBorders>
              <w:top w:val="nil"/>
              <w:left w:val="single" w:sz="4" w:space="0" w:color="auto"/>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Procredit banka i Fondacija za razvoj grada Prijedora</w:t>
            </w: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Opšti portfelj</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5.000.000,00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45.000,00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22.500,00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0,14%</w:t>
            </w:r>
          </w:p>
        </w:tc>
      </w:tr>
      <w:tr w:rsidR="005934B2" w:rsidRPr="00C81AA1" w:rsidTr="000366C5">
        <w:trPr>
          <w:trHeight w:val="240"/>
        </w:trPr>
        <w:tc>
          <w:tcPr>
            <w:tcW w:w="270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UKUPNO</w:t>
            </w:r>
          </w:p>
        </w:tc>
        <w:tc>
          <w:tcPr>
            <w:tcW w:w="1275"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5.000.000,00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1</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45.000,00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22.500,00</w:t>
            </w:r>
          </w:p>
        </w:tc>
        <w:tc>
          <w:tcPr>
            <w:tcW w:w="992" w:type="dxa"/>
            <w:tcBorders>
              <w:top w:val="nil"/>
              <w:left w:val="nil"/>
              <w:bottom w:val="single" w:sz="4" w:space="0" w:color="auto"/>
              <w:right w:val="single" w:sz="4" w:space="0" w:color="auto"/>
            </w:tcBorders>
            <w:shd w:val="clear" w:color="000000" w:fill="C5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0,14%</w:t>
            </w:r>
          </w:p>
        </w:tc>
      </w:tr>
      <w:tr w:rsidR="005934B2" w:rsidRPr="00C81AA1" w:rsidTr="000366C5">
        <w:trPr>
          <w:trHeight w:val="510"/>
        </w:trPr>
        <w:tc>
          <w:tcPr>
            <w:tcW w:w="1218" w:type="dxa"/>
            <w:tcBorders>
              <w:top w:val="nil"/>
              <w:left w:val="single" w:sz="4" w:space="0" w:color="auto"/>
              <w:bottom w:val="nil"/>
              <w:right w:val="single" w:sz="4" w:space="0" w:color="auto"/>
            </w:tcBorders>
            <w:shd w:val="clear" w:color="auto" w:fill="auto"/>
            <w:vAlign w:val="center"/>
            <w:hideMark/>
          </w:tcPr>
          <w:p w:rsidR="005934B2" w:rsidRPr="00C81AA1" w:rsidRDefault="005934B2" w:rsidP="000366C5">
            <w:pPr>
              <w:ind w:right="-181"/>
              <w:jc w:val="left"/>
              <w:rPr>
                <w:rFonts w:ascii="Calibri" w:hAnsi="Calibri"/>
                <w:sz w:val="16"/>
                <w:szCs w:val="16"/>
              </w:rPr>
            </w:pPr>
            <w:r w:rsidRPr="00C81AA1">
              <w:rPr>
                <w:rFonts w:ascii="Calibri" w:hAnsi="Calibri"/>
                <w:sz w:val="16"/>
                <w:szCs w:val="16"/>
              </w:rPr>
              <w:t>Nova banka a.d. Banja Luka</w:t>
            </w: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Opšti portfelj</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20.000.000,00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0,00%</w:t>
            </w:r>
          </w:p>
        </w:tc>
      </w:tr>
      <w:tr w:rsidR="005934B2" w:rsidRPr="00C81AA1" w:rsidTr="000366C5">
        <w:trPr>
          <w:trHeight w:val="300"/>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UKUPNO</w:t>
            </w:r>
          </w:p>
        </w:tc>
        <w:tc>
          <w:tcPr>
            <w:tcW w:w="1275"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20.000.000,00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0,00</w:t>
            </w:r>
          </w:p>
        </w:tc>
        <w:tc>
          <w:tcPr>
            <w:tcW w:w="992" w:type="dxa"/>
            <w:tcBorders>
              <w:top w:val="nil"/>
              <w:left w:val="nil"/>
              <w:bottom w:val="single" w:sz="4" w:space="0" w:color="auto"/>
              <w:right w:val="single" w:sz="4" w:space="0" w:color="auto"/>
            </w:tcBorders>
            <w:shd w:val="clear" w:color="000000" w:fill="C5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0,00%</w:t>
            </w:r>
          </w:p>
        </w:tc>
      </w:tr>
      <w:tr w:rsidR="005934B2" w:rsidRPr="00C81AA1" w:rsidTr="000366C5">
        <w:trPr>
          <w:trHeight w:val="510"/>
        </w:trPr>
        <w:tc>
          <w:tcPr>
            <w:tcW w:w="1218" w:type="dxa"/>
            <w:tcBorders>
              <w:top w:val="nil"/>
              <w:left w:val="single" w:sz="4" w:space="0" w:color="auto"/>
              <w:bottom w:val="nil"/>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MF banka a.d. Banja Luka</w:t>
            </w:r>
          </w:p>
        </w:tc>
        <w:tc>
          <w:tcPr>
            <w:tcW w:w="1491"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left"/>
              <w:rPr>
                <w:rFonts w:ascii="Calibri" w:hAnsi="Calibri"/>
                <w:sz w:val="16"/>
                <w:szCs w:val="16"/>
              </w:rPr>
            </w:pPr>
            <w:r w:rsidRPr="00C81AA1">
              <w:rPr>
                <w:rFonts w:ascii="Calibri" w:hAnsi="Calibri"/>
                <w:sz w:val="16"/>
                <w:szCs w:val="16"/>
              </w:rPr>
              <w:t>Opšti portfelj</w:t>
            </w:r>
          </w:p>
        </w:tc>
        <w:tc>
          <w:tcPr>
            <w:tcW w:w="1275"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10.000.000,00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right"/>
              <w:rPr>
                <w:rFonts w:ascii="Calibri" w:hAnsi="Calibri"/>
                <w:sz w:val="16"/>
                <w:szCs w:val="16"/>
              </w:rPr>
            </w:pPr>
            <w:r w:rsidRPr="00C81AA1">
              <w:rPr>
                <w:rFonts w:ascii="Calibri" w:hAnsi="Calibri"/>
                <w:sz w:val="16"/>
                <w:szCs w:val="16"/>
              </w:rPr>
              <w:t>0,00</w:t>
            </w:r>
          </w:p>
        </w:tc>
        <w:tc>
          <w:tcPr>
            <w:tcW w:w="992" w:type="dxa"/>
            <w:tcBorders>
              <w:top w:val="nil"/>
              <w:left w:val="nil"/>
              <w:bottom w:val="single" w:sz="4" w:space="0" w:color="auto"/>
              <w:right w:val="single" w:sz="4" w:space="0" w:color="auto"/>
            </w:tcBorders>
            <w:shd w:val="clear" w:color="auto" w:fill="auto"/>
            <w:vAlign w:val="center"/>
            <w:hideMark/>
          </w:tcPr>
          <w:p w:rsidR="005934B2" w:rsidRPr="00C81AA1" w:rsidRDefault="005934B2" w:rsidP="000366C5">
            <w:pPr>
              <w:jc w:val="center"/>
              <w:rPr>
                <w:rFonts w:ascii="Calibri" w:hAnsi="Calibri"/>
                <w:sz w:val="16"/>
                <w:szCs w:val="16"/>
              </w:rPr>
            </w:pPr>
            <w:r w:rsidRPr="00C81AA1">
              <w:rPr>
                <w:rFonts w:ascii="Calibri" w:hAnsi="Calibri"/>
                <w:sz w:val="16"/>
                <w:szCs w:val="16"/>
              </w:rPr>
              <w:t>0,00%</w:t>
            </w:r>
          </w:p>
        </w:tc>
      </w:tr>
      <w:tr w:rsidR="005934B2" w:rsidRPr="00C81AA1" w:rsidTr="000366C5">
        <w:trPr>
          <w:trHeight w:val="285"/>
        </w:trPr>
        <w:tc>
          <w:tcPr>
            <w:tcW w:w="2709" w:type="dxa"/>
            <w:gridSpan w:val="2"/>
            <w:tcBorders>
              <w:top w:val="single" w:sz="4" w:space="0" w:color="auto"/>
              <w:left w:val="single" w:sz="4" w:space="0" w:color="auto"/>
              <w:bottom w:val="single" w:sz="4" w:space="0" w:color="auto"/>
              <w:right w:val="single" w:sz="4" w:space="0" w:color="000000"/>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UKUPNO</w:t>
            </w:r>
          </w:p>
        </w:tc>
        <w:tc>
          <w:tcPr>
            <w:tcW w:w="1275"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10.000.000,00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0,00</w:t>
            </w:r>
          </w:p>
        </w:tc>
        <w:tc>
          <w:tcPr>
            <w:tcW w:w="1276" w:type="dxa"/>
            <w:tcBorders>
              <w:top w:val="nil"/>
              <w:left w:val="nil"/>
              <w:bottom w:val="single" w:sz="4" w:space="0" w:color="auto"/>
              <w:right w:val="single" w:sz="4" w:space="0" w:color="auto"/>
            </w:tcBorders>
            <w:shd w:val="clear" w:color="000000" w:fill="C6D9F1"/>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0,00</w:t>
            </w:r>
          </w:p>
        </w:tc>
        <w:tc>
          <w:tcPr>
            <w:tcW w:w="992" w:type="dxa"/>
            <w:tcBorders>
              <w:top w:val="nil"/>
              <w:left w:val="nil"/>
              <w:bottom w:val="single" w:sz="4" w:space="0" w:color="auto"/>
              <w:right w:val="single" w:sz="4" w:space="0" w:color="auto"/>
            </w:tcBorders>
            <w:shd w:val="clear" w:color="000000" w:fill="B8CCE4"/>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0,00%</w:t>
            </w:r>
          </w:p>
        </w:tc>
      </w:tr>
      <w:tr w:rsidR="005934B2" w:rsidRPr="00C81AA1" w:rsidTr="000366C5">
        <w:trPr>
          <w:trHeight w:val="375"/>
        </w:trPr>
        <w:tc>
          <w:tcPr>
            <w:tcW w:w="2709"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C81AA1" w:rsidRDefault="005934B2" w:rsidP="000366C5">
            <w:pPr>
              <w:jc w:val="center"/>
              <w:rPr>
                <w:rFonts w:ascii="Calibri" w:hAnsi="Calibri"/>
                <w:b/>
                <w:bCs/>
                <w:color w:val="auto"/>
                <w:sz w:val="16"/>
                <w:szCs w:val="16"/>
              </w:rPr>
            </w:pPr>
            <w:r w:rsidRPr="00C81AA1">
              <w:rPr>
                <w:rFonts w:ascii="Calibri" w:hAnsi="Calibri"/>
                <w:b/>
                <w:bCs/>
                <w:color w:val="auto"/>
                <w:sz w:val="16"/>
                <w:szCs w:val="16"/>
              </w:rPr>
              <w:t>UKUPNO</w:t>
            </w:r>
          </w:p>
        </w:tc>
        <w:tc>
          <w:tcPr>
            <w:tcW w:w="1275" w:type="dxa"/>
            <w:tcBorders>
              <w:top w:val="nil"/>
              <w:left w:val="nil"/>
              <w:bottom w:val="single" w:sz="4" w:space="0" w:color="auto"/>
              <w:right w:val="single" w:sz="4" w:space="0" w:color="auto"/>
            </w:tcBorders>
            <w:shd w:val="clear" w:color="000000" w:fill="8DB4E2"/>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155.500.000,00</w:t>
            </w:r>
          </w:p>
        </w:tc>
        <w:tc>
          <w:tcPr>
            <w:tcW w:w="1276" w:type="dxa"/>
            <w:tcBorders>
              <w:top w:val="nil"/>
              <w:left w:val="nil"/>
              <w:bottom w:val="single" w:sz="4" w:space="0" w:color="auto"/>
              <w:right w:val="single" w:sz="4" w:space="0" w:color="auto"/>
            </w:tcBorders>
            <w:shd w:val="clear" w:color="000000" w:fill="8DB4E2"/>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100</w:t>
            </w:r>
          </w:p>
        </w:tc>
        <w:tc>
          <w:tcPr>
            <w:tcW w:w="1276" w:type="dxa"/>
            <w:tcBorders>
              <w:top w:val="nil"/>
              <w:left w:val="nil"/>
              <w:bottom w:val="single" w:sz="4" w:space="0" w:color="auto"/>
              <w:right w:val="single" w:sz="4" w:space="0" w:color="auto"/>
            </w:tcBorders>
            <w:shd w:val="clear" w:color="000000" w:fill="8DB4E2"/>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31.274.550,00</w:t>
            </w:r>
          </w:p>
        </w:tc>
        <w:tc>
          <w:tcPr>
            <w:tcW w:w="1276" w:type="dxa"/>
            <w:tcBorders>
              <w:top w:val="nil"/>
              <w:left w:val="nil"/>
              <w:bottom w:val="single" w:sz="4" w:space="0" w:color="auto"/>
              <w:right w:val="single" w:sz="4" w:space="0" w:color="auto"/>
            </w:tcBorders>
            <w:shd w:val="clear" w:color="000000" w:fill="8DB4E2"/>
            <w:vAlign w:val="center"/>
            <w:hideMark/>
          </w:tcPr>
          <w:p w:rsidR="005934B2" w:rsidRPr="00C81AA1" w:rsidRDefault="005934B2" w:rsidP="000366C5">
            <w:pPr>
              <w:jc w:val="right"/>
              <w:rPr>
                <w:rFonts w:ascii="Calibri" w:hAnsi="Calibri"/>
                <w:b/>
                <w:bCs/>
                <w:sz w:val="16"/>
                <w:szCs w:val="16"/>
              </w:rPr>
            </w:pPr>
            <w:r w:rsidRPr="00C81AA1">
              <w:rPr>
                <w:rFonts w:ascii="Calibri" w:hAnsi="Calibri"/>
                <w:b/>
                <w:bCs/>
                <w:sz w:val="16"/>
                <w:szCs w:val="16"/>
              </w:rPr>
              <w:t>15.637.275,00</w:t>
            </w:r>
          </w:p>
        </w:tc>
        <w:tc>
          <w:tcPr>
            <w:tcW w:w="992" w:type="dxa"/>
            <w:tcBorders>
              <w:top w:val="nil"/>
              <w:left w:val="nil"/>
              <w:bottom w:val="single" w:sz="4" w:space="0" w:color="auto"/>
              <w:right w:val="single" w:sz="4" w:space="0" w:color="auto"/>
            </w:tcBorders>
            <w:shd w:val="clear" w:color="000000" w:fill="8DB4E2"/>
            <w:vAlign w:val="center"/>
            <w:hideMark/>
          </w:tcPr>
          <w:p w:rsidR="005934B2" w:rsidRPr="00C81AA1" w:rsidRDefault="005934B2" w:rsidP="000366C5">
            <w:pPr>
              <w:jc w:val="center"/>
              <w:rPr>
                <w:rFonts w:ascii="Calibri" w:hAnsi="Calibri"/>
                <w:b/>
                <w:bCs/>
                <w:sz w:val="16"/>
                <w:szCs w:val="16"/>
              </w:rPr>
            </w:pPr>
            <w:r w:rsidRPr="00C81AA1">
              <w:rPr>
                <w:rFonts w:ascii="Calibri" w:hAnsi="Calibri"/>
                <w:b/>
                <w:bCs/>
                <w:sz w:val="16"/>
                <w:szCs w:val="16"/>
              </w:rPr>
              <w:t>100,00%</w:t>
            </w:r>
          </w:p>
        </w:tc>
      </w:tr>
    </w:tbl>
    <w:p w:rsidR="005934B2" w:rsidRDefault="005934B2" w:rsidP="00A401F8">
      <w:pPr>
        <w:pStyle w:val="Default"/>
        <w:jc w:val="both"/>
        <w:rPr>
          <w:rFonts w:asciiTheme="minorHAnsi" w:hAnsiTheme="minorHAnsi" w:cs="Times New Roman"/>
          <w:color w:val="auto"/>
          <w:sz w:val="20"/>
          <w:szCs w:val="20"/>
          <w:lang w:val="sr-Cyrl-BA"/>
        </w:rPr>
      </w:pPr>
    </w:p>
    <w:p w:rsidR="005934B2" w:rsidRDefault="005934B2" w:rsidP="00A401F8">
      <w:pPr>
        <w:pStyle w:val="Default"/>
        <w:jc w:val="both"/>
        <w:rPr>
          <w:rFonts w:asciiTheme="minorHAnsi" w:hAnsiTheme="minorHAnsi" w:cs="Times New Roman"/>
          <w:color w:val="auto"/>
          <w:sz w:val="20"/>
          <w:szCs w:val="20"/>
          <w:lang w:val="sr-Cyrl-BA"/>
        </w:rPr>
      </w:pPr>
    </w:p>
    <w:p w:rsidR="005934B2" w:rsidRDefault="005934B2" w:rsidP="00A401F8">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Sa 6 finansijskih posrednika navedenih u tabeli 5 je tokom protekle 4 godine ugovoren plasman 155.500.000,00 KM kreditnih sredstava uz maksimalnu garanciju u iznosu od 38.875.000,00 KM</w:t>
      </w:r>
      <w:r>
        <w:rPr>
          <w:rFonts w:asciiTheme="minorHAnsi" w:hAnsiTheme="minorHAnsi" w:cs="Times New Roman"/>
          <w:color w:val="auto"/>
          <w:sz w:val="20"/>
          <w:szCs w:val="20"/>
        </w:rPr>
        <w:t xml:space="preserve">, </w:t>
      </w:r>
      <w:r>
        <w:rPr>
          <w:rFonts w:asciiTheme="minorHAnsi" w:hAnsiTheme="minorHAnsi" w:cs="Times New Roman"/>
          <w:color w:val="auto"/>
          <w:sz w:val="20"/>
          <w:szCs w:val="20"/>
          <w:lang w:val="sr-Cyrl-RS"/>
        </w:rPr>
        <w:t>odnosno 25% izloženosti</w:t>
      </w:r>
      <w:r>
        <w:rPr>
          <w:rFonts w:asciiTheme="minorHAnsi" w:hAnsiTheme="minorHAnsi" w:cs="Times New Roman"/>
          <w:color w:val="auto"/>
          <w:sz w:val="20"/>
          <w:szCs w:val="20"/>
          <w:lang w:val="sr-Cyrl-BA"/>
        </w:rPr>
        <w:t xml:space="preserve"> Garantnog fonda na nivou portfelja. Ugovorena stopa garantovanog iznosa po pojedinačnom kreditu u okviru portfelja je 50%. U okviru opšeg portfelja je planiran plasman 125.500.000,00 KM, dok se iznos od 30.000.000,00 KM odnosi na portfelj za obnovljive izvore energije.</w:t>
      </w:r>
    </w:p>
    <w:p w:rsidR="005934B2" w:rsidRDefault="005934B2" w:rsidP="00A401F8">
      <w:pPr>
        <w:pStyle w:val="Default"/>
        <w:jc w:val="both"/>
        <w:rPr>
          <w:rFonts w:asciiTheme="minorHAnsi" w:hAnsiTheme="minorHAnsi" w:cs="Times New Roman"/>
          <w:color w:val="auto"/>
          <w:sz w:val="20"/>
          <w:szCs w:val="20"/>
          <w:lang w:val="sr-Cyrl-BA"/>
        </w:rPr>
      </w:pPr>
    </w:p>
    <w:p w:rsidR="005934B2" w:rsidRDefault="005934B2" w:rsidP="00A401F8">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Tokom 2024. godine je plasirano 100 garancija u iznosu od </w:t>
      </w:r>
      <w:r w:rsidRPr="00FF3A7D">
        <w:rPr>
          <w:rFonts w:asciiTheme="minorHAnsi" w:hAnsiTheme="minorHAnsi" w:cs="Times New Roman"/>
          <w:b/>
          <w:color w:val="auto"/>
          <w:sz w:val="20"/>
          <w:szCs w:val="20"/>
          <w:lang w:val="sr-Cyrl-BA"/>
        </w:rPr>
        <w:t>15.637.275,00 KM</w:t>
      </w:r>
      <w:r>
        <w:rPr>
          <w:rFonts w:asciiTheme="minorHAnsi" w:hAnsiTheme="minorHAnsi" w:cs="Times New Roman"/>
          <w:color w:val="auto"/>
          <w:sz w:val="20"/>
          <w:szCs w:val="20"/>
          <w:lang w:val="sr-Cyrl-BA"/>
        </w:rPr>
        <w:t xml:space="preserve">, čime su podržani </w:t>
      </w:r>
      <w:r w:rsidRPr="005767EF">
        <w:rPr>
          <w:rFonts w:asciiTheme="minorHAnsi" w:hAnsiTheme="minorHAnsi" w:cs="Times New Roman"/>
          <w:color w:val="auto"/>
          <w:sz w:val="20"/>
          <w:szCs w:val="20"/>
          <w:lang w:val="sr-Cyrl-BA"/>
        </w:rPr>
        <w:t>pl</w:t>
      </w:r>
      <w:r>
        <w:rPr>
          <w:rFonts w:asciiTheme="minorHAnsi" w:hAnsiTheme="minorHAnsi" w:cs="Times New Roman"/>
          <w:color w:val="auto"/>
          <w:sz w:val="20"/>
          <w:szCs w:val="20"/>
          <w:lang w:val="sr-Cyrl-BA"/>
        </w:rPr>
        <w:t xml:space="preserve">asmani finansijskih posrednika u iznosu od 31.274.550,00 KM. Najveću aktivnost tokom 2024. godine je imala PROCREDIT banka, koja je plasirala 57 kredita u iznosu od 16.233.000,00 KM, uz garancije u iznosu od </w:t>
      </w:r>
      <w:r w:rsidRPr="00FF3A7D">
        <w:rPr>
          <w:rFonts w:asciiTheme="minorHAnsi" w:hAnsiTheme="minorHAnsi" w:cs="Times New Roman"/>
          <w:b/>
          <w:color w:val="auto"/>
          <w:sz w:val="20"/>
          <w:szCs w:val="20"/>
          <w:lang w:val="sr-Cyrl-BA"/>
        </w:rPr>
        <w:t>8.116.500,00 KM</w:t>
      </w:r>
      <w:r>
        <w:rPr>
          <w:rFonts w:asciiTheme="minorHAnsi" w:hAnsiTheme="minorHAnsi" w:cs="Times New Roman"/>
          <w:color w:val="auto"/>
          <w:sz w:val="20"/>
          <w:szCs w:val="20"/>
          <w:lang w:val="sr-Cyrl-BA"/>
        </w:rPr>
        <w:t xml:space="preserve">. U okviru opšteg portfelja je izdana 41 garancija u iznosu od 4.780.000,00 KM, dok je u okviru portfelja za obnovljive izvore energije plasirano 16 garancija  u iznosu od </w:t>
      </w:r>
      <w:r w:rsidRPr="005F1070">
        <w:rPr>
          <w:rFonts w:asciiTheme="minorHAnsi" w:hAnsiTheme="minorHAnsi" w:cs="Times New Roman"/>
          <w:color w:val="auto"/>
          <w:sz w:val="20"/>
          <w:szCs w:val="20"/>
          <w:lang w:val="sr-Cyrl-BA"/>
        </w:rPr>
        <w:t>3.336.500,00</w:t>
      </w:r>
      <w:r>
        <w:rPr>
          <w:rFonts w:asciiTheme="minorHAnsi" w:hAnsiTheme="minorHAnsi" w:cs="Times New Roman"/>
          <w:color w:val="auto"/>
          <w:sz w:val="20"/>
          <w:szCs w:val="20"/>
          <w:lang w:val="sr-Cyrl-BA"/>
        </w:rPr>
        <w:t xml:space="preserve"> KM. Učešće ove banke u izdanim garancijama u okviru kreditnog portfelja tokom 2024. godine je 51,90%.  </w:t>
      </w:r>
      <w:r w:rsidRPr="00D24503">
        <w:rPr>
          <w:rFonts w:asciiTheme="minorHAnsi" w:hAnsiTheme="minorHAnsi" w:cs="Times New Roman"/>
          <w:color w:val="auto"/>
          <w:sz w:val="20"/>
          <w:szCs w:val="20"/>
          <w:lang w:val="sr-Cyrl-BA"/>
        </w:rPr>
        <w:t xml:space="preserve">UNICREDIT </w:t>
      </w:r>
      <w:r>
        <w:rPr>
          <w:rFonts w:asciiTheme="minorHAnsi" w:hAnsiTheme="minorHAnsi" w:cs="Times New Roman"/>
          <w:color w:val="auto"/>
          <w:sz w:val="20"/>
          <w:szCs w:val="20"/>
          <w:lang w:val="sr-Cyrl-BA"/>
        </w:rPr>
        <w:t xml:space="preserve">banka se nalazi na drugom mjestu i ima učešće od 37,76% u izdanim garancijama tokom 2024. godine. Ova banka je tokom godine plasirala 30 kredita u iznosu od </w:t>
      </w:r>
      <w:r w:rsidRPr="00FF3A7D">
        <w:rPr>
          <w:rFonts w:asciiTheme="minorHAnsi" w:hAnsiTheme="minorHAnsi" w:cs="Times New Roman"/>
          <w:color w:val="auto"/>
          <w:sz w:val="20"/>
          <w:szCs w:val="20"/>
          <w:lang w:val="sr-Cyrl-BA"/>
        </w:rPr>
        <w:t>11.808.550,00</w:t>
      </w:r>
      <w:r>
        <w:rPr>
          <w:rFonts w:asciiTheme="minorHAnsi" w:hAnsiTheme="minorHAnsi" w:cs="Times New Roman"/>
          <w:color w:val="auto"/>
          <w:sz w:val="20"/>
          <w:szCs w:val="20"/>
          <w:lang w:val="sr-Cyrl-BA"/>
        </w:rPr>
        <w:t xml:space="preserve"> KM, od čega se 10.016.000,00 KM odnosi 25 kredita u okviru opšteg portfelja, a preostalih </w:t>
      </w:r>
      <w:r w:rsidRPr="00FF3A7D">
        <w:rPr>
          <w:rFonts w:asciiTheme="minorHAnsi" w:hAnsiTheme="minorHAnsi" w:cs="Times New Roman"/>
          <w:color w:val="auto"/>
          <w:sz w:val="20"/>
          <w:szCs w:val="20"/>
          <w:lang w:val="sr-Cyrl-BA"/>
        </w:rPr>
        <w:t>1.792.550,00</w:t>
      </w:r>
      <w:r>
        <w:rPr>
          <w:rFonts w:asciiTheme="minorHAnsi" w:hAnsiTheme="minorHAnsi" w:cs="Times New Roman"/>
          <w:color w:val="auto"/>
          <w:sz w:val="20"/>
          <w:szCs w:val="20"/>
          <w:lang w:val="sr-Cyrl-BA"/>
        </w:rPr>
        <w:t xml:space="preserve"> KM na 5 kredita u okviru portfelja za energetsku efikasnost. Iznos garancija plasiranih tokom 2024. godine u korist ove banke je </w:t>
      </w:r>
      <w:r w:rsidRPr="00FF3A7D">
        <w:rPr>
          <w:rFonts w:asciiTheme="minorHAnsi" w:hAnsiTheme="minorHAnsi" w:cs="Times New Roman"/>
          <w:b/>
          <w:color w:val="auto"/>
          <w:sz w:val="20"/>
          <w:szCs w:val="20"/>
          <w:lang w:val="sr-Cyrl-BA"/>
        </w:rPr>
        <w:t>5.904.275,00 KM.</w:t>
      </w:r>
    </w:p>
    <w:p w:rsidR="005934B2" w:rsidRDefault="005934B2" w:rsidP="00A401F8">
      <w:pPr>
        <w:pStyle w:val="Default"/>
        <w:jc w:val="both"/>
        <w:rPr>
          <w:rFonts w:asciiTheme="minorHAnsi" w:hAnsiTheme="minorHAnsi" w:cs="Times New Roman"/>
          <w:color w:val="auto"/>
          <w:sz w:val="20"/>
          <w:szCs w:val="20"/>
          <w:lang w:val="sr-Cyrl-BA"/>
        </w:rPr>
      </w:pPr>
    </w:p>
    <w:p w:rsidR="005934B2" w:rsidRDefault="005934B2" w:rsidP="00A401F8">
      <w:pPr>
        <w:pStyle w:val="Default"/>
        <w:jc w:val="both"/>
        <w:rPr>
          <w:rFonts w:asciiTheme="minorHAnsi" w:hAnsiTheme="minorHAnsi" w:cs="Times New Roman"/>
          <w:color w:val="auto"/>
          <w:sz w:val="20"/>
          <w:szCs w:val="20"/>
          <w:lang w:val="sr-Cyrl-BA"/>
        </w:rPr>
      </w:pPr>
      <w:r w:rsidRPr="00D24503">
        <w:rPr>
          <w:rFonts w:asciiTheme="minorHAnsi" w:hAnsiTheme="minorHAnsi" w:cs="Times New Roman"/>
          <w:color w:val="auto"/>
          <w:sz w:val="20"/>
          <w:szCs w:val="20"/>
          <w:lang w:val="sr-Cyrl-BA"/>
        </w:rPr>
        <w:t>SPARKASSE</w:t>
      </w:r>
      <w:r>
        <w:rPr>
          <w:rFonts w:asciiTheme="minorHAnsi" w:hAnsiTheme="minorHAnsi" w:cs="Times New Roman"/>
          <w:color w:val="auto"/>
          <w:sz w:val="20"/>
          <w:szCs w:val="20"/>
          <w:lang w:val="sr-Cyrl-BA"/>
        </w:rPr>
        <w:t xml:space="preserve"> banka je tokom 2024. godine plasirala 10 kredita u iznosu od </w:t>
      </w:r>
      <w:r w:rsidRPr="00FF3A7D">
        <w:rPr>
          <w:rFonts w:asciiTheme="minorHAnsi" w:hAnsiTheme="minorHAnsi" w:cs="Times New Roman"/>
          <w:color w:val="auto"/>
          <w:sz w:val="20"/>
          <w:szCs w:val="20"/>
          <w:lang w:val="sr-Cyrl-BA"/>
        </w:rPr>
        <w:t>3.123.000,00</w:t>
      </w:r>
      <w:r>
        <w:rPr>
          <w:rFonts w:asciiTheme="minorHAnsi" w:hAnsiTheme="minorHAnsi" w:cs="Times New Roman"/>
          <w:color w:val="auto"/>
          <w:sz w:val="20"/>
          <w:szCs w:val="20"/>
          <w:lang w:val="sr-Cyrl-BA"/>
        </w:rPr>
        <w:t xml:space="preserve"> KM, odnosno trećinu ugovorenog iznosa. Garancije izdane u korist ove banke iznose </w:t>
      </w:r>
      <w:r w:rsidRPr="00FF3A7D">
        <w:rPr>
          <w:rFonts w:asciiTheme="minorHAnsi" w:hAnsiTheme="minorHAnsi" w:cs="Times New Roman"/>
          <w:b/>
          <w:color w:val="auto"/>
          <w:sz w:val="20"/>
          <w:szCs w:val="20"/>
          <w:lang w:val="sr-Cyrl-BA"/>
        </w:rPr>
        <w:t xml:space="preserve">1.561.500,00 KM </w:t>
      </w:r>
      <w:r>
        <w:rPr>
          <w:rFonts w:asciiTheme="minorHAnsi" w:hAnsiTheme="minorHAnsi" w:cs="Times New Roman"/>
          <w:color w:val="auto"/>
          <w:sz w:val="20"/>
          <w:szCs w:val="20"/>
          <w:lang w:val="sr-Cyrl-BA"/>
        </w:rPr>
        <w:t xml:space="preserve">i čine 9,99% ukupno izdanih garancija u 2024. godini. MKD Taurus je plasirao dva kredita u iznosu od 65.000,00 KM, uz garancije u iznosu od </w:t>
      </w:r>
      <w:r w:rsidRPr="00AB1552">
        <w:rPr>
          <w:rFonts w:asciiTheme="minorHAnsi" w:hAnsiTheme="minorHAnsi" w:cs="Times New Roman"/>
          <w:b/>
          <w:color w:val="auto"/>
          <w:sz w:val="20"/>
          <w:szCs w:val="20"/>
          <w:lang w:val="sr-Cyrl-BA"/>
        </w:rPr>
        <w:t>32.500,00 KM</w:t>
      </w:r>
      <w:r>
        <w:rPr>
          <w:rFonts w:asciiTheme="minorHAnsi" w:hAnsiTheme="minorHAnsi" w:cs="Times New Roman"/>
          <w:color w:val="auto"/>
          <w:sz w:val="20"/>
          <w:szCs w:val="20"/>
          <w:lang w:val="sr-Cyrl-BA"/>
        </w:rPr>
        <w:t xml:space="preserve">, dok je u okviru triparitetnog portfelja sa Prokredit bankom i Fondacijom za razvoj grada Prijedora plasiran jedan kredit u iznosu od 45.000,00 KM, odnosna jedna garancija u iznosu od </w:t>
      </w:r>
      <w:r w:rsidRPr="00AB1552">
        <w:rPr>
          <w:rFonts w:asciiTheme="minorHAnsi" w:hAnsiTheme="minorHAnsi" w:cs="Times New Roman"/>
          <w:b/>
          <w:color w:val="auto"/>
          <w:sz w:val="20"/>
          <w:szCs w:val="20"/>
          <w:lang w:val="sr-Cyrl-BA"/>
        </w:rPr>
        <w:t>22.500,00 KM</w:t>
      </w:r>
      <w:r>
        <w:rPr>
          <w:rFonts w:asciiTheme="minorHAnsi" w:hAnsiTheme="minorHAnsi" w:cs="Times New Roman"/>
          <w:color w:val="auto"/>
          <w:sz w:val="20"/>
          <w:szCs w:val="20"/>
          <w:lang w:val="sr-Cyrl-BA"/>
        </w:rPr>
        <w:t xml:space="preserve">. Dva navedena portfelja su ugovorena u februaru, odnosno u junu 2024. godine, što može biti jedan od uzroka nedovoljne aktivnosti u pogledu plasiranja sredstava. Nova i MF banka nisu imale kreditnu aktivnost u okviru kreditnog portfelja tokom 2024. godine. </w:t>
      </w:r>
    </w:p>
    <w:p w:rsidR="005934B2" w:rsidRPr="005767EF" w:rsidRDefault="005934B2" w:rsidP="00A401F8">
      <w:pPr>
        <w:pStyle w:val="Default"/>
        <w:jc w:val="both"/>
        <w:rPr>
          <w:rFonts w:asciiTheme="minorHAnsi" w:hAnsiTheme="minorHAnsi" w:cs="Times New Roman"/>
          <w:color w:val="auto"/>
          <w:sz w:val="20"/>
          <w:szCs w:val="20"/>
          <w:lang w:val="sr-Cyrl-BA"/>
        </w:rPr>
      </w:pPr>
    </w:p>
    <w:p w:rsidR="005934B2" w:rsidRPr="00444161" w:rsidRDefault="005934B2" w:rsidP="00A401F8">
      <w:pPr>
        <w:jc w:val="center"/>
        <w:rPr>
          <w:rFonts w:asciiTheme="minorHAnsi" w:hAnsiTheme="minorHAnsi"/>
          <w:sz w:val="20"/>
          <w:szCs w:val="20"/>
        </w:rPr>
      </w:pPr>
      <w:r w:rsidRPr="005767EF">
        <w:rPr>
          <w:rFonts w:asciiTheme="minorHAnsi" w:hAnsiTheme="minorHAnsi"/>
          <w:b/>
          <w:bCs/>
          <w:sz w:val="20"/>
          <w:szCs w:val="20"/>
          <w:lang w:val="sr-Latn-RS" w:eastAsia="sr-Latn-RS"/>
        </w:rPr>
        <w:t xml:space="preserve">Pregled izdanih garancija </w:t>
      </w:r>
      <w:r>
        <w:rPr>
          <w:rFonts w:asciiTheme="minorHAnsi" w:hAnsiTheme="minorHAnsi"/>
          <w:b/>
          <w:bCs/>
          <w:sz w:val="20"/>
          <w:szCs w:val="20"/>
          <w:lang w:val="sr-Cyrl-RS" w:eastAsia="sr-Latn-RS"/>
        </w:rPr>
        <w:t xml:space="preserve">u okviru kreditnog portfelja </w:t>
      </w:r>
      <w:r w:rsidRPr="005767EF">
        <w:rPr>
          <w:rFonts w:asciiTheme="minorHAnsi" w:hAnsiTheme="minorHAnsi"/>
          <w:b/>
          <w:bCs/>
          <w:sz w:val="20"/>
          <w:szCs w:val="20"/>
          <w:lang w:val="sr-Latn-RS" w:eastAsia="sr-Latn-RS"/>
        </w:rPr>
        <w:t xml:space="preserve">po djelatnostima  </w:t>
      </w:r>
      <w:r>
        <w:rPr>
          <w:rFonts w:asciiTheme="minorHAnsi" w:hAnsiTheme="minorHAnsi"/>
          <w:b/>
          <w:bCs/>
          <w:sz w:val="20"/>
          <w:szCs w:val="20"/>
          <w:lang w:val="sr-Cyrl-RS" w:eastAsia="sr-Latn-RS"/>
        </w:rPr>
        <w:t xml:space="preserve">u </w:t>
      </w:r>
      <w:r w:rsidRPr="005767EF">
        <w:rPr>
          <w:rFonts w:asciiTheme="minorHAnsi" w:hAnsiTheme="minorHAnsi"/>
          <w:b/>
          <w:bCs/>
          <w:sz w:val="20"/>
          <w:szCs w:val="20"/>
          <w:lang w:val="sr-Latn-RS" w:eastAsia="sr-Latn-RS"/>
        </w:rPr>
        <w:t>period</w:t>
      </w:r>
      <w:r>
        <w:rPr>
          <w:rFonts w:asciiTheme="minorHAnsi" w:hAnsiTheme="minorHAnsi"/>
          <w:b/>
          <w:bCs/>
          <w:sz w:val="20"/>
          <w:szCs w:val="20"/>
          <w:lang w:val="sr-Cyrl-RS" w:eastAsia="sr-Latn-RS"/>
        </w:rPr>
        <w:t>u</w:t>
      </w:r>
      <w:r w:rsidRPr="005767EF">
        <w:rPr>
          <w:rFonts w:asciiTheme="minorHAnsi" w:hAnsiTheme="minorHAnsi"/>
          <w:b/>
          <w:bCs/>
          <w:sz w:val="20"/>
          <w:szCs w:val="20"/>
          <w:lang w:val="sr-Latn-RS" w:eastAsia="sr-Latn-RS"/>
        </w:rPr>
        <w:t xml:space="preserve"> 01.01.202</w:t>
      </w:r>
      <w:r>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 - 31.12.202</w:t>
      </w:r>
      <w:r>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 xml:space="preserve">. godine                        </w:t>
      </w:r>
      <w:r>
        <w:rPr>
          <w:rFonts w:asciiTheme="minorHAnsi" w:hAnsiTheme="minorHAnsi"/>
          <w:b/>
          <w:bCs/>
          <w:sz w:val="20"/>
          <w:szCs w:val="20"/>
          <w:lang w:val="sr-Latn-RS" w:eastAsia="sr-Latn-RS"/>
        </w:rPr>
        <w:t xml:space="preserve">                              </w:t>
      </w:r>
    </w:p>
    <w:p w:rsidR="005934B2" w:rsidRPr="009342FB" w:rsidRDefault="005934B2" w:rsidP="00A401F8">
      <w:pPr>
        <w:pStyle w:val="Default"/>
        <w:ind w:left="1416" w:hanging="1416"/>
        <w:jc w:val="both"/>
        <w:rPr>
          <w:rFonts w:asciiTheme="minorHAnsi" w:hAnsiTheme="minorHAnsi" w:cs="Times New Roman"/>
          <w:b/>
          <w:color w:val="auto"/>
          <w:sz w:val="20"/>
          <w:szCs w:val="20"/>
          <w:lang w:val="sr-Cyrl-BA"/>
        </w:rPr>
      </w:pP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r>
      <w:r w:rsidRPr="005767EF">
        <w:rPr>
          <w:rFonts w:asciiTheme="minorHAnsi" w:hAnsiTheme="minorHAnsi" w:cs="Times New Roman"/>
          <w:color w:val="auto"/>
          <w:sz w:val="20"/>
          <w:szCs w:val="20"/>
          <w:lang w:val="sr-Cyrl-BA"/>
        </w:rPr>
        <w:tab/>
        <w:t xml:space="preserve">       </w:t>
      </w:r>
      <w:r>
        <w:rPr>
          <w:rFonts w:asciiTheme="minorHAnsi" w:hAnsiTheme="minorHAnsi" w:cs="Times New Roman"/>
          <w:color w:val="auto"/>
          <w:sz w:val="20"/>
          <w:szCs w:val="20"/>
          <w:lang w:val="sr-Cyrl-BA"/>
        </w:rPr>
        <w:t xml:space="preserve">          </w:t>
      </w:r>
      <w:r w:rsidRPr="005767EF">
        <w:rPr>
          <w:rFonts w:asciiTheme="minorHAnsi" w:hAnsiTheme="minorHAnsi" w:cs="Times New Roman"/>
          <w:color w:val="auto"/>
          <w:sz w:val="20"/>
          <w:szCs w:val="20"/>
          <w:lang w:val="sr-Cyrl-BA"/>
        </w:rPr>
        <w:t xml:space="preserve"> </w:t>
      </w:r>
      <w:r>
        <w:rPr>
          <w:rFonts w:asciiTheme="minorHAnsi" w:hAnsiTheme="minorHAnsi" w:cs="Times New Roman"/>
          <w:b/>
          <w:color w:val="auto"/>
          <w:sz w:val="20"/>
          <w:szCs w:val="20"/>
          <w:lang w:val="sr-Cyrl-BA"/>
        </w:rPr>
        <w:t>Tabela 6</w:t>
      </w:r>
    </w:p>
    <w:tbl>
      <w:tblPr>
        <w:tblW w:w="8804" w:type="dxa"/>
        <w:tblInd w:w="93" w:type="dxa"/>
        <w:tblLayout w:type="fixed"/>
        <w:tblLook w:val="04A0" w:firstRow="1" w:lastRow="0" w:firstColumn="1" w:lastColumn="0" w:noHBand="0" w:noVBand="1"/>
      </w:tblPr>
      <w:tblGrid>
        <w:gridCol w:w="4551"/>
        <w:gridCol w:w="851"/>
        <w:gridCol w:w="1276"/>
        <w:gridCol w:w="1275"/>
        <w:gridCol w:w="851"/>
      </w:tblGrid>
      <w:tr w:rsidR="005934B2" w:rsidRPr="001A0581" w:rsidTr="000366C5">
        <w:trPr>
          <w:trHeight w:val="825"/>
        </w:trPr>
        <w:tc>
          <w:tcPr>
            <w:tcW w:w="4551"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6"/>
                <w:szCs w:val="16"/>
              </w:rPr>
            </w:pPr>
            <w:r w:rsidRPr="001A0581">
              <w:rPr>
                <w:rFonts w:ascii="Calibri" w:hAnsi="Calibri"/>
                <w:b/>
                <w:bCs/>
                <w:sz w:val="16"/>
                <w:szCs w:val="16"/>
              </w:rPr>
              <w:t>Djelatnost</w:t>
            </w:r>
          </w:p>
        </w:tc>
        <w:tc>
          <w:tcPr>
            <w:tcW w:w="851"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ind w:right="-108"/>
              <w:jc w:val="center"/>
              <w:rPr>
                <w:rFonts w:ascii="Calibri" w:hAnsi="Calibri"/>
                <w:b/>
                <w:bCs/>
                <w:sz w:val="16"/>
                <w:szCs w:val="16"/>
              </w:rPr>
            </w:pPr>
            <w:r w:rsidRPr="001A0581">
              <w:rPr>
                <w:rFonts w:ascii="Calibri" w:hAnsi="Calibri"/>
                <w:b/>
                <w:bCs/>
                <w:sz w:val="16"/>
                <w:szCs w:val="16"/>
              </w:rPr>
              <w:t>Broj kredita</w:t>
            </w:r>
          </w:p>
        </w:tc>
        <w:tc>
          <w:tcPr>
            <w:tcW w:w="1276"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6"/>
                <w:szCs w:val="16"/>
              </w:rPr>
            </w:pPr>
            <w:r w:rsidRPr="001A0581">
              <w:rPr>
                <w:rFonts w:ascii="Calibri" w:hAnsi="Calibri"/>
                <w:b/>
                <w:bCs/>
                <w:sz w:val="16"/>
                <w:szCs w:val="16"/>
              </w:rPr>
              <w:t>Iznos kredita</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6"/>
                <w:szCs w:val="16"/>
              </w:rPr>
            </w:pPr>
            <w:r w:rsidRPr="001A0581">
              <w:rPr>
                <w:rFonts w:ascii="Calibri" w:hAnsi="Calibri"/>
                <w:b/>
                <w:bCs/>
                <w:sz w:val="16"/>
                <w:szCs w:val="16"/>
              </w:rPr>
              <w:t>Iznos garancije</w:t>
            </w:r>
          </w:p>
        </w:tc>
        <w:tc>
          <w:tcPr>
            <w:tcW w:w="851"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ind w:right="-108"/>
              <w:jc w:val="center"/>
              <w:rPr>
                <w:rFonts w:ascii="Calibri" w:hAnsi="Calibri"/>
                <w:b/>
                <w:bCs/>
                <w:sz w:val="16"/>
                <w:szCs w:val="16"/>
              </w:rPr>
            </w:pPr>
            <w:r w:rsidRPr="001A0581">
              <w:rPr>
                <w:rFonts w:ascii="Calibri" w:hAnsi="Calibri"/>
                <w:b/>
                <w:bCs/>
                <w:sz w:val="16"/>
                <w:szCs w:val="16"/>
              </w:rPr>
              <w:t>Učešće u ukupno izdanim garancijama</w:t>
            </w:r>
          </w:p>
        </w:tc>
      </w:tr>
      <w:tr w:rsidR="005934B2" w:rsidRPr="001A0581" w:rsidTr="000366C5">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A – POLjOPRIVREDA, ŠUMARSTVO I RIBOLOV</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7</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753.000,00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lang w:val="sr-Cyrl-RS"/>
              </w:rPr>
            </w:pPr>
            <w:r w:rsidRPr="001A0581">
              <w:rPr>
                <w:rFonts w:ascii="Calibri" w:hAnsi="Calibri"/>
                <w:color w:val="auto"/>
                <w:sz w:val="16"/>
                <w:szCs w:val="16"/>
              </w:rPr>
              <w:t>376.500</w:t>
            </w:r>
            <w:r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2,41%</w:t>
            </w:r>
          </w:p>
        </w:tc>
      </w:tr>
      <w:tr w:rsidR="005934B2" w:rsidRPr="001A0581" w:rsidTr="000366C5">
        <w:trPr>
          <w:trHeight w:val="219"/>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B – VAĐENjE RUDA I KAMENA</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381.000,00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lang w:val="sr-Cyrl-RS"/>
              </w:rPr>
            </w:pPr>
            <w:r w:rsidRPr="001A0581">
              <w:rPr>
                <w:rFonts w:ascii="Calibri" w:hAnsi="Calibri"/>
                <w:color w:val="auto"/>
                <w:sz w:val="16"/>
                <w:szCs w:val="16"/>
              </w:rPr>
              <w:t>190.500</w:t>
            </w:r>
            <w:r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1,22%</w:t>
            </w:r>
          </w:p>
        </w:tc>
      </w:tr>
      <w:tr w:rsidR="005934B2" w:rsidRPr="001A0581" w:rsidTr="000366C5">
        <w:trPr>
          <w:trHeight w:val="279"/>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C – PRERAĐIVAČKA INDUSTRIJA</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24</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8.995.000,00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lang w:val="sr-Cyrl-RS"/>
              </w:rPr>
            </w:pPr>
            <w:r w:rsidRPr="001A0581">
              <w:rPr>
                <w:rFonts w:ascii="Calibri" w:hAnsi="Calibri"/>
                <w:color w:val="auto"/>
                <w:sz w:val="16"/>
                <w:szCs w:val="16"/>
              </w:rPr>
              <w:t>4.497.500</w:t>
            </w:r>
            <w:r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28,76%</w:t>
            </w:r>
          </w:p>
        </w:tc>
      </w:tr>
      <w:tr w:rsidR="005934B2" w:rsidRPr="001A0581" w:rsidTr="000366C5">
        <w:trPr>
          <w:trHeight w:val="345"/>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D – PROIZVODNjA I SNABDIJEVANjE ELEKTRIČNOM ENERGIJOM, GASOM, PAROM I KLIMATIZACIJA</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9</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3.242.000,00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lang w:val="sr-Cyrl-RS"/>
              </w:rPr>
            </w:pPr>
            <w:r w:rsidRPr="001A0581">
              <w:rPr>
                <w:rFonts w:ascii="Calibri" w:hAnsi="Calibri"/>
                <w:color w:val="auto"/>
                <w:sz w:val="16"/>
                <w:szCs w:val="16"/>
              </w:rPr>
              <w:t>1.621.000</w:t>
            </w:r>
            <w:r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10,37%</w:t>
            </w:r>
          </w:p>
        </w:tc>
      </w:tr>
      <w:tr w:rsidR="005934B2" w:rsidRPr="001A0581" w:rsidTr="000366C5">
        <w:trPr>
          <w:trHeight w:val="270"/>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F – GRAĐEVINARSTVO</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2.315.000,00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lang w:val="sr-Cyrl-RS"/>
              </w:rPr>
            </w:pPr>
            <w:r w:rsidRPr="001A0581">
              <w:rPr>
                <w:rFonts w:ascii="Calibri" w:hAnsi="Calibri"/>
                <w:color w:val="auto"/>
                <w:sz w:val="16"/>
                <w:szCs w:val="16"/>
              </w:rPr>
              <w:t>1.157.500</w:t>
            </w:r>
            <w:r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7,40%</w:t>
            </w:r>
          </w:p>
        </w:tc>
      </w:tr>
      <w:tr w:rsidR="005934B2" w:rsidRPr="001A0581" w:rsidTr="000366C5">
        <w:trPr>
          <w:trHeight w:val="449"/>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G – TRGOVINA NA VELIKO I NA MALO; POPRAVKA MOTORNIH VOZILA I MOTOCIKALA</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26</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11.296.550,00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lang w:val="sr-Cyrl-RS"/>
              </w:rPr>
            </w:pPr>
            <w:r w:rsidRPr="001A0581">
              <w:rPr>
                <w:rFonts w:ascii="Calibri" w:hAnsi="Calibri"/>
                <w:color w:val="auto"/>
                <w:sz w:val="16"/>
                <w:szCs w:val="16"/>
              </w:rPr>
              <w:t>5.648.275</w:t>
            </w:r>
            <w:r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36,12%</w:t>
            </w:r>
          </w:p>
        </w:tc>
      </w:tr>
      <w:tr w:rsidR="005934B2" w:rsidRPr="001A0581" w:rsidTr="000366C5">
        <w:trPr>
          <w:trHeight w:val="390"/>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H – SAOBRAĆAJ I SKLADIŠTENjE</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13</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2.112.000,00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lang w:val="sr-Cyrl-RS"/>
              </w:rPr>
            </w:pPr>
            <w:r w:rsidRPr="001A0581">
              <w:rPr>
                <w:rFonts w:ascii="Calibri" w:hAnsi="Calibri"/>
                <w:color w:val="auto"/>
                <w:sz w:val="16"/>
                <w:szCs w:val="16"/>
              </w:rPr>
              <w:t>1.056.000</w:t>
            </w:r>
            <w:r w:rsidRPr="001A0581">
              <w:rPr>
                <w:rFonts w:ascii="Calibri" w:hAnsi="Calibri"/>
                <w:color w:val="auto"/>
                <w:sz w:val="16"/>
                <w:szCs w:val="16"/>
                <w:lang w:val="sr-Cyrl-RS"/>
              </w:rPr>
              <w:t>,00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6,75%</w:t>
            </w:r>
          </w:p>
        </w:tc>
      </w:tr>
      <w:tr w:rsidR="005934B2" w:rsidRPr="001A0581" w:rsidTr="000366C5">
        <w:trPr>
          <w:trHeight w:val="432"/>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I – DJELATNOSTI PRUŽANjA SMJEŠTAJA</w:t>
            </w:r>
            <w:r w:rsidRPr="001A0581">
              <w:rPr>
                <w:rFonts w:ascii="Calibri" w:hAnsi="Calibri"/>
                <w:color w:val="auto"/>
                <w:sz w:val="16"/>
                <w:szCs w:val="16"/>
                <w:lang w:val="sr-Cyrl-RS"/>
              </w:rPr>
              <w:t xml:space="preserve"> </w:t>
            </w:r>
            <w:r w:rsidRPr="001A0581">
              <w:rPr>
                <w:rFonts w:ascii="Calibri" w:hAnsi="Calibri"/>
                <w:color w:val="auto"/>
                <w:sz w:val="16"/>
                <w:szCs w:val="16"/>
              </w:rPr>
              <w:t xml:space="preserve"> I POSLUŽIVANjA HRANE; HOTELIJERSTVO I UGOSTITELjSTVO</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560.000,00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280.000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1,79%</w:t>
            </w:r>
          </w:p>
        </w:tc>
      </w:tr>
      <w:tr w:rsidR="005934B2" w:rsidRPr="001A0581" w:rsidTr="000366C5">
        <w:trPr>
          <w:trHeight w:val="264"/>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J – INFORMACIJE I KOMUNIKACIJE</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620.000,00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310.000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1,98%</w:t>
            </w:r>
          </w:p>
        </w:tc>
      </w:tr>
      <w:tr w:rsidR="005934B2" w:rsidRPr="001A0581" w:rsidTr="000366C5">
        <w:trPr>
          <w:trHeight w:val="287"/>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M – STRUČNE, NAUČNE I TEHNIČKE DJELATNOSTI</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380.000,00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190.000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1,22%</w:t>
            </w:r>
          </w:p>
        </w:tc>
      </w:tr>
      <w:tr w:rsidR="005934B2" w:rsidRPr="001A0581" w:rsidTr="000366C5">
        <w:trPr>
          <w:trHeight w:val="480"/>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Q – DJELATNOSTI ZDRAVSTVENE ZAŠTITE I SOCIJALNOG RADA</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500.000,00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250.000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1,60%</w:t>
            </w:r>
          </w:p>
        </w:tc>
      </w:tr>
      <w:tr w:rsidR="005934B2" w:rsidRPr="001A0581" w:rsidTr="000366C5">
        <w:trPr>
          <w:trHeight w:val="295"/>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S – OSTALE USLUŽNE DJELATNOSTI</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90.000,00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45.000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0,29%</w:t>
            </w:r>
          </w:p>
        </w:tc>
      </w:tr>
      <w:tr w:rsidR="005934B2" w:rsidRPr="001A0581" w:rsidTr="000366C5">
        <w:trPr>
          <w:trHeight w:val="480"/>
        </w:trPr>
        <w:tc>
          <w:tcPr>
            <w:tcW w:w="4551" w:type="dxa"/>
            <w:tcBorders>
              <w:top w:val="nil"/>
              <w:left w:val="single" w:sz="4" w:space="0" w:color="auto"/>
              <w:bottom w:val="single" w:sz="4" w:space="0" w:color="auto"/>
              <w:right w:val="single" w:sz="4" w:space="0" w:color="auto"/>
            </w:tcBorders>
            <w:shd w:val="clear" w:color="auto" w:fill="auto"/>
            <w:hideMark/>
          </w:tcPr>
          <w:p w:rsidR="005934B2" w:rsidRPr="001A0581" w:rsidRDefault="005934B2" w:rsidP="000366C5">
            <w:pPr>
              <w:jc w:val="left"/>
              <w:rPr>
                <w:rFonts w:ascii="Calibri" w:hAnsi="Calibri"/>
                <w:color w:val="auto"/>
                <w:sz w:val="16"/>
                <w:szCs w:val="16"/>
              </w:rPr>
            </w:pPr>
            <w:r w:rsidRPr="001A0581">
              <w:rPr>
                <w:rFonts w:ascii="Calibri" w:hAnsi="Calibri"/>
                <w:color w:val="auto"/>
                <w:sz w:val="16"/>
                <w:szCs w:val="16"/>
              </w:rPr>
              <w:t>Područje T – DJELATNOSTI DOMAĆINSTAVA KAO POSLODAVACA</w:t>
            </w:r>
          </w:p>
        </w:tc>
        <w:tc>
          <w:tcPr>
            <w:tcW w:w="851"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color w:val="auto"/>
                <w:sz w:val="16"/>
                <w:szCs w:val="16"/>
              </w:rPr>
            </w:pPr>
            <w:r w:rsidRPr="001A0581">
              <w:rPr>
                <w:rFonts w:ascii="Calibri" w:hAnsi="Calibri"/>
                <w:color w:val="auto"/>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30.000,00</w:t>
            </w:r>
          </w:p>
        </w:tc>
        <w:tc>
          <w:tcPr>
            <w:tcW w:w="127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15.000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color w:val="auto"/>
                <w:sz w:val="16"/>
                <w:szCs w:val="16"/>
              </w:rPr>
            </w:pPr>
            <w:r w:rsidRPr="001A0581">
              <w:rPr>
                <w:rFonts w:ascii="Calibri" w:hAnsi="Calibri"/>
                <w:color w:val="auto"/>
                <w:sz w:val="16"/>
                <w:szCs w:val="16"/>
              </w:rPr>
              <w:t>0,10%</w:t>
            </w:r>
          </w:p>
        </w:tc>
      </w:tr>
      <w:tr w:rsidR="005934B2" w:rsidRPr="001A0581" w:rsidTr="000366C5">
        <w:trPr>
          <w:trHeight w:val="480"/>
        </w:trPr>
        <w:tc>
          <w:tcPr>
            <w:tcW w:w="4551" w:type="dxa"/>
            <w:tcBorders>
              <w:top w:val="nil"/>
              <w:left w:val="single" w:sz="4" w:space="0" w:color="auto"/>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color w:val="auto"/>
                <w:sz w:val="16"/>
                <w:szCs w:val="16"/>
              </w:rPr>
            </w:pPr>
            <w:r w:rsidRPr="001A0581">
              <w:rPr>
                <w:rFonts w:ascii="Calibri" w:hAnsi="Calibri"/>
                <w:b/>
                <w:bCs/>
                <w:color w:val="auto"/>
                <w:sz w:val="16"/>
                <w:szCs w:val="16"/>
              </w:rPr>
              <w:t>UKUPNO</w:t>
            </w:r>
          </w:p>
        </w:tc>
        <w:tc>
          <w:tcPr>
            <w:tcW w:w="851" w:type="dxa"/>
            <w:tcBorders>
              <w:top w:val="nil"/>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color w:val="auto"/>
                <w:sz w:val="16"/>
                <w:szCs w:val="16"/>
              </w:rPr>
            </w:pPr>
            <w:r w:rsidRPr="001A0581">
              <w:rPr>
                <w:rFonts w:ascii="Calibri" w:hAnsi="Calibri"/>
                <w:b/>
                <w:bCs/>
                <w:color w:val="auto"/>
                <w:sz w:val="16"/>
                <w:szCs w:val="16"/>
              </w:rPr>
              <w:t>100</w:t>
            </w:r>
          </w:p>
        </w:tc>
        <w:tc>
          <w:tcPr>
            <w:tcW w:w="1276" w:type="dxa"/>
            <w:tcBorders>
              <w:top w:val="nil"/>
              <w:left w:val="nil"/>
              <w:bottom w:val="single" w:sz="4" w:space="0" w:color="auto"/>
              <w:right w:val="single" w:sz="4" w:space="0" w:color="auto"/>
            </w:tcBorders>
            <w:shd w:val="clear" w:color="000000" w:fill="8DB4E2"/>
            <w:vAlign w:val="center"/>
            <w:hideMark/>
          </w:tcPr>
          <w:p w:rsidR="005934B2" w:rsidRPr="001A0581" w:rsidRDefault="005934B2" w:rsidP="000366C5">
            <w:pPr>
              <w:jc w:val="right"/>
              <w:rPr>
                <w:rFonts w:ascii="Calibri" w:hAnsi="Calibri"/>
                <w:b/>
                <w:bCs/>
                <w:color w:val="auto"/>
                <w:sz w:val="16"/>
                <w:szCs w:val="16"/>
              </w:rPr>
            </w:pPr>
            <w:r w:rsidRPr="001A0581">
              <w:rPr>
                <w:rFonts w:ascii="Calibri" w:hAnsi="Calibri"/>
                <w:b/>
                <w:bCs/>
                <w:color w:val="auto"/>
                <w:sz w:val="16"/>
                <w:szCs w:val="16"/>
              </w:rPr>
              <w:t>31.274.550,00</w:t>
            </w:r>
          </w:p>
        </w:tc>
        <w:tc>
          <w:tcPr>
            <w:tcW w:w="1275" w:type="dxa"/>
            <w:tcBorders>
              <w:top w:val="nil"/>
              <w:left w:val="nil"/>
              <w:bottom w:val="single" w:sz="4" w:space="0" w:color="auto"/>
              <w:right w:val="single" w:sz="4" w:space="0" w:color="auto"/>
            </w:tcBorders>
            <w:shd w:val="clear" w:color="000000" w:fill="8DB4E2"/>
            <w:vAlign w:val="center"/>
            <w:hideMark/>
          </w:tcPr>
          <w:p w:rsidR="005934B2" w:rsidRPr="001A0581" w:rsidRDefault="005934B2" w:rsidP="000366C5">
            <w:pPr>
              <w:jc w:val="right"/>
              <w:rPr>
                <w:rFonts w:ascii="Calibri" w:hAnsi="Calibri"/>
                <w:b/>
                <w:bCs/>
                <w:color w:val="auto"/>
                <w:sz w:val="16"/>
                <w:szCs w:val="16"/>
              </w:rPr>
            </w:pPr>
            <w:r w:rsidRPr="001A0581">
              <w:rPr>
                <w:rFonts w:ascii="Calibri" w:hAnsi="Calibri"/>
                <w:b/>
                <w:bCs/>
                <w:color w:val="auto"/>
                <w:sz w:val="16"/>
                <w:szCs w:val="16"/>
              </w:rPr>
              <w:t>15.637.275,00</w:t>
            </w:r>
          </w:p>
        </w:tc>
        <w:tc>
          <w:tcPr>
            <w:tcW w:w="851" w:type="dxa"/>
            <w:tcBorders>
              <w:top w:val="nil"/>
              <w:left w:val="nil"/>
              <w:bottom w:val="single" w:sz="4" w:space="0" w:color="auto"/>
              <w:right w:val="single" w:sz="4" w:space="0" w:color="auto"/>
            </w:tcBorders>
            <w:shd w:val="clear" w:color="000000" w:fill="8DB4E2"/>
            <w:noWrap/>
            <w:vAlign w:val="center"/>
            <w:hideMark/>
          </w:tcPr>
          <w:p w:rsidR="005934B2" w:rsidRPr="001A0581" w:rsidRDefault="005934B2" w:rsidP="000366C5">
            <w:pPr>
              <w:jc w:val="right"/>
              <w:rPr>
                <w:rFonts w:ascii="Calibri" w:hAnsi="Calibri"/>
                <w:b/>
                <w:bCs/>
                <w:color w:val="auto"/>
                <w:sz w:val="16"/>
                <w:szCs w:val="16"/>
              </w:rPr>
            </w:pPr>
            <w:r w:rsidRPr="001A0581">
              <w:rPr>
                <w:rFonts w:ascii="Calibri" w:hAnsi="Calibri"/>
                <w:b/>
                <w:bCs/>
                <w:color w:val="auto"/>
                <w:sz w:val="16"/>
                <w:szCs w:val="16"/>
              </w:rPr>
              <w:t>100,00%</w:t>
            </w:r>
          </w:p>
        </w:tc>
      </w:tr>
    </w:tbl>
    <w:p w:rsidR="005934B2" w:rsidRPr="005767EF"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hAnsiTheme="minorHAnsi"/>
          <w:bCs/>
          <w:sz w:val="20"/>
          <w:szCs w:val="20"/>
          <w:lang w:val="sr-Cyrl-BA" w:eastAsia="sr-Latn-RS"/>
        </w:rPr>
      </w:pPr>
      <w:r w:rsidRPr="005767EF">
        <w:rPr>
          <w:rFonts w:asciiTheme="minorHAnsi" w:hAnsiTheme="minorHAnsi"/>
          <w:bCs/>
          <w:sz w:val="20"/>
          <w:szCs w:val="20"/>
          <w:lang w:val="sr-Cyrl-BA" w:eastAsia="sr-Latn-RS"/>
        </w:rPr>
        <w:t xml:space="preserve">Struktura garancija po djelatnostima pokazuje da </w:t>
      </w:r>
      <w:r>
        <w:rPr>
          <w:rFonts w:asciiTheme="minorHAnsi" w:hAnsiTheme="minorHAnsi"/>
          <w:bCs/>
          <w:sz w:val="20"/>
          <w:szCs w:val="20"/>
          <w:lang w:val="sr-Cyrl-BA" w:eastAsia="sr-Latn-RS"/>
        </w:rPr>
        <w:t xml:space="preserve">dominiraju prerađivačka industrija i trgovina, koje su ujedno dvije najzastupljenije grane u privredi Republike Srpske. Garancije izdane za projekte iz ove dvije oblasti čine gotovo dvije trećine vrijednosti plasiranih garancija tokom 2024. godine. U oblast trgovine na veliko i malo je izdano 26 garancija u iznosu od </w:t>
      </w:r>
      <w:r w:rsidRPr="00E51A1A">
        <w:rPr>
          <w:rFonts w:asciiTheme="minorHAnsi" w:hAnsiTheme="minorHAnsi"/>
          <w:bCs/>
          <w:sz w:val="20"/>
          <w:szCs w:val="20"/>
          <w:lang w:val="sr-Cyrl-BA" w:eastAsia="sr-Latn-RS"/>
        </w:rPr>
        <w:t>5.648.275,00</w:t>
      </w:r>
      <w:r>
        <w:rPr>
          <w:rFonts w:asciiTheme="minorHAnsi" w:hAnsiTheme="minorHAnsi"/>
          <w:bCs/>
          <w:sz w:val="20"/>
          <w:szCs w:val="20"/>
          <w:lang w:val="sr-Cyrl-BA" w:eastAsia="sr-Latn-RS"/>
        </w:rPr>
        <w:t xml:space="preserve"> KM, dok su 24 projekta iz oblasti prerađivačke industrije podržana sa garancijama u iznosu od </w:t>
      </w:r>
      <w:r w:rsidRPr="00E51A1A">
        <w:rPr>
          <w:rFonts w:asciiTheme="minorHAnsi" w:hAnsiTheme="minorHAnsi"/>
          <w:bCs/>
          <w:sz w:val="20"/>
          <w:szCs w:val="20"/>
          <w:lang w:val="sr-Cyrl-BA" w:eastAsia="sr-Latn-RS"/>
        </w:rPr>
        <w:t>4.497.500,00</w:t>
      </w:r>
      <w:r>
        <w:rPr>
          <w:rFonts w:asciiTheme="minorHAnsi" w:hAnsiTheme="minorHAnsi"/>
          <w:bCs/>
          <w:sz w:val="20"/>
          <w:szCs w:val="20"/>
          <w:lang w:val="sr-Cyrl-BA" w:eastAsia="sr-Latn-RS"/>
        </w:rPr>
        <w:t xml:space="preserve"> KM.  Na trećem mjestu se nalazi oblast proizvodnje i snabdijevanja električnom energijom, u okviru koje je izdano 9 garancija u iznosu od 1.621.000,00 KM.</w:t>
      </w:r>
    </w:p>
    <w:p w:rsidR="005934B2" w:rsidRPr="0066469A" w:rsidRDefault="005934B2" w:rsidP="00A401F8">
      <w:pPr>
        <w:autoSpaceDE w:val="0"/>
        <w:autoSpaceDN w:val="0"/>
        <w:adjustRightInd w:val="0"/>
        <w:rPr>
          <w:rFonts w:asciiTheme="minorHAnsi" w:hAnsiTheme="minorHAnsi"/>
          <w:b/>
          <w:bCs/>
          <w:sz w:val="20"/>
          <w:szCs w:val="20"/>
          <w:lang w:val="sr-Cyrl-RS" w:eastAsia="sr-Latn-RS"/>
        </w:rPr>
      </w:pPr>
    </w:p>
    <w:p w:rsidR="005934B2" w:rsidRPr="00130BFD" w:rsidRDefault="005934B2" w:rsidP="00A401F8">
      <w:pPr>
        <w:autoSpaceDE w:val="0"/>
        <w:autoSpaceDN w:val="0"/>
        <w:adjustRightInd w:val="0"/>
        <w:jc w:val="center"/>
        <w:rPr>
          <w:rFonts w:asciiTheme="minorHAnsi" w:eastAsiaTheme="minorHAnsi" w:hAnsiTheme="minorHAnsi"/>
          <w:color w:val="auto"/>
          <w:sz w:val="20"/>
          <w:szCs w:val="20"/>
          <w:lang w:val="sr-Cyrl-RS" w:eastAsia="en-US"/>
        </w:rPr>
      </w:pPr>
      <w:r w:rsidRPr="005767EF">
        <w:rPr>
          <w:rFonts w:asciiTheme="minorHAnsi" w:hAnsiTheme="minorHAnsi"/>
          <w:b/>
          <w:bCs/>
          <w:sz w:val="20"/>
          <w:szCs w:val="20"/>
          <w:lang w:val="sr-Latn-RS" w:eastAsia="sr-Latn-RS"/>
        </w:rPr>
        <w:t xml:space="preserve">Pregled izdanih garancija po </w:t>
      </w:r>
      <w:r w:rsidRPr="005767EF">
        <w:rPr>
          <w:rFonts w:asciiTheme="minorHAnsi" w:hAnsiTheme="minorHAnsi"/>
          <w:b/>
          <w:bCs/>
          <w:sz w:val="20"/>
          <w:szCs w:val="20"/>
          <w:lang w:val="sr-Cyrl-BA" w:eastAsia="sr-Latn-RS"/>
        </w:rPr>
        <w:t xml:space="preserve">gradovima i opštinama </w:t>
      </w:r>
      <w:r>
        <w:rPr>
          <w:rFonts w:asciiTheme="minorHAnsi" w:hAnsiTheme="minorHAnsi"/>
          <w:b/>
          <w:bCs/>
          <w:sz w:val="20"/>
          <w:szCs w:val="20"/>
          <w:lang w:val="sr-Cyrl-RS" w:eastAsia="sr-Latn-RS"/>
        </w:rPr>
        <w:t>u</w:t>
      </w:r>
      <w:r w:rsidRPr="005767EF">
        <w:rPr>
          <w:rFonts w:asciiTheme="minorHAnsi" w:hAnsiTheme="minorHAnsi"/>
          <w:b/>
          <w:bCs/>
          <w:sz w:val="20"/>
          <w:szCs w:val="20"/>
          <w:lang w:val="sr-Latn-RS" w:eastAsia="sr-Latn-RS"/>
        </w:rPr>
        <w:t xml:space="preserve"> period</w:t>
      </w:r>
      <w:r>
        <w:rPr>
          <w:rFonts w:asciiTheme="minorHAnsi" w:hAnsiTheme="minorHAnsi"/>
          <w:b/>
          <w:bCs/>
          <w:sz w:val="20"/>
          <w:szCs w:val="20"/>
          <w:lang w:val="sr-Cyrl-RS" w:eastAsia="sr-Latn-RS"/>
        </w:rPr>
        <w:t>u</w:t>
      </w:r>
      <w:r w:rsidRPr="005767EF">
        <w:rPr>
          <w:rFonts w:asciiTheme="minorHAnsi" w:hAnsiTheme="minorHAnsi"/>
          <w:b/>
          <w:bCs/>
          <w:sz w:val="20"/>
          <w:szCs w:val="20"/>
          <w:lang w:val="sr-Latn-RS" w:eastAsia="sr-Latn-RS"/>
        </w:rPr>
        <w:t xml:space="preserve"> 01.01.202</w:t>
      </w:r>
      <w:r>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 - 31.12.202</w:t>
      </w:r>
      <w:r>
        <w:rPr>
          <w:rFonts w:asciiTheme="minorHAnsi" w:hAnsiTheme="minorHAnsi"/>
          <w:b/>
          <w:bCs/>
          <w:sz w:val="20"/>
          <w:szCs w:val="20"/>
          <w:lang w:val="sr-Cyrl-RS" w:eastAsia="sr-Latn-RS"/>
        </w:rPr>
        <w:t>4</w:t>
      </w:r>
      <w:r>
        <w:rPr>
          <w:rFonts w:asciiTheme="minorHAnsi" w:hAnsiTheme="minorHAnsi"/>
          <w:b/>
          <w:bCs/>
          <w:sz w:val="20"/>
          <w:szCs w:val="20"/>
          <w:lang w:val="sr-Latn-RS" w:eastAsia="sr-Latn-RS"/>
        </w:rPr>
        <w:t>. godin</w:t>
      </w:r>
      <w:r>
        <w:rPr>
          <w:rFonts w:asciiTheme="minorHAnsi" w:hAnsiTheme="minorHAnsi"/>
          <w:b/>
          <w:bCs/>
          <w:sz w:val="20"/>
          <w:szCs w:val="20"/>
          <w:lang w:val="sr-Cyrl-RS" w:eastAsia="sr-Latn-RS"/>
        </w:rPr>
        <w:t>e</w:t>
      </w:r>
    </w:p>
    <w:p w:rsidR="005934B2" w:rsidRPr="005767EF"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9342FB" w:rsidRDefault="005934B2" w:rsidP="00A401F8">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t xml:space="preserve">       </w:t>
      </w:r>
      <w:r>
        <w:rPr>
          <w:rFonts w:asciiTheme="minorHAnsi" w:eastAsiaTheme="minorHAnsi" w:hAnsiTheme="minorHAnsi"/>
          <w:color w:val="auto"/>
          <w:sz w:val="20"/>
          <w:szCs w:val="20"/>
          <w:lang w:val="sr-Cyrl-BA" w:eastAsia="en-US"/>
        </w:rPr>
        <w:t xml:space="preserve">      </w:t>
      </w:r>
      <w:r w:rsidRPr="005767EF">
        <w:rPr>
          <w:rFonts w:asciiTheme="minorHAnsi" w:eastAsiaTheme="minorHAnsi" w:hAnsiTheme="minorHAnsi"/>
          <w:color w:val="auto"/>
          <w:sz w:val="20"/>
          <w:szCs w:val="20"/>
          <w:lang w:val="sr-Cyrl-BA" w:eastAsia="en-US"/>
        </w:rPr>
        <w:t xml:space="preserve">   </w:t>
      </w:r>
      <w:r>
        <w:rPr>
          <w:rFonts w:asciiTheme="minorHAnsi" w:eastAsiaTheme="minorHAnsi" w:hAnsiTheme="minorHAnsi"/>
          <w:b/>
          <w:color w:val="auto"/>
          <w:sz w:val="20"/>
          <w:szCs w:val="20"/>
          <w:lang w:val="sr-Cyrl-BA" w:eastAsia="en-US"/>
        </w:rPr>
        <w:t>Tabela 7</w:t>
      </w:r>
    </w:p>
    <w:tbl>
      <w:tblPr>
        <w:tblW w:w="8804" w:type="dxa"/>
        <w:tblInd w:w="93" w:type="dxa"/>
        <w:tblLook w:val="04A0" w:firstRow="1" w:lastRow="0" w:firstColumn="1" w:lastColumn="0" w:noHBand="0" w:noVBand="1"/>
      </w:tblPr>
      <w:tblGrid>
        <w:gridCol w:w="2000"/>
        <w:gridCol w:w="1134"/>
        <w:gridCol w:w="2126"/>
        <w:gridCol w:w="1559"/>
        <w:gridCol w:w="1985"/>
      </w:tblGrid>
      <w:tr w:rsidR="005934B2" w:rsidRPr="001A0581" w:rsidTr="000366C5">
        <w:trPr>
          <w:trHeight w:val="510"/>
        </w:trPr>
        <w:tc>
          <w:tcPr>
            <w:tcW w:w="200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Grad/Opština</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Broj kredita</w:t>
            </w:r>
          </w:p>
        </w:tc>
        <w:tc>
          <w:tcPr>
            <w:tcW w:w="2126"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Iznos kredita</w:t>
            </w:r>
          </w:p>
        </w:tc>
        <w:tc>
          <w:tcPr>
            <w:tcW w:w="1559"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Iznos garancije</w:t>
            </w:r>
          </w:p>
        </w:tc>
        <w:tc>
          <w:tcPr>
            <w:tcW w:w="1985"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Učešće</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Banja Luka</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26</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12.022.550,00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6.011.275,00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38,44%</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Bijeljina</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20</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4.798.000,00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2.399.000,00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15,34%</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Laktaši</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8</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1.966.000,00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983.000,00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6,29%</w:t>
            </w:r>
          </w:p>
        </w:tc>
      </w:tr>
      <w:tr w:rsidR="005934B2" w:rsidRPr="001A0581" w:rsidTr="000366C5">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Gradiška</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5</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2.130.000,00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1.065.000,00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6,81%</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Calibri" w:hAnsi="Calibri"/>
                <w:sz w:val="18"/>
                <w:szCs w:val="18"/>
              </w:rPr>
            </w:pPr>
            <w:r w:rsidRPr="001A0581">
              <w:rPr>
                <w:rFonts w:ascii="Calibri" w:hAnsi="Calibri"/>
                <w:sz w:val="18"/>
                <w:szCs w:val="18"/>
              </w:rPr>
              <w:t>Šamac</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5</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1.340.000,00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670.000,00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4,28%</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Modriča</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4</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1.192.000,00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596.000,00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3,81%</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Čelinac</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185.000,00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92.500,00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0,59%</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Prijedor</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565.000,00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282.500,00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1,81%</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Trn</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960.000,00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480.000,00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3,07%</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Istočno Sarajevo</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1.155.000,00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577.500,00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3,69%</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Trebinje</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3</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535.000,00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267.500,00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1,71%</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Prnjavor</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195.000,00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97.500,00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0,62%</w:t>
            </w:r>
          </w:p>
        </w:tc>
      </w:tr>
      <w:tr w:rsidR="005934B2" w:rsidRPr="001A0581" w:rsidTr="000366C5">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Ugljevik</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520.000,00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260.000,00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1,66%</w:t>
            </w:r>
          </w:p>
        </w:tc>
      </w:tr>
      <w:tr w:rsidR="005934B2" w:rsidRPr="001A0581" w:rsidTr="000366C5">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Srbac</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500.000,00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250.000,00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1,60%</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Bratunac</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2</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296.000,00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148.000,00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0,95%</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Kozarska Dubica</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200.000,00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100.000,00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0,64%</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Mrkonjić Grad</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1.000.000,00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500.000,00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3,20%</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Pale</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45.000,00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22.500,00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0,14%</w:t>
            </w:r>
          </w:p>
        </w:tc>
      </w:tr>
      <w:tr w:rsidR="005934B2" w:rsidRPr="001A0581" w:rsidTr="000366C5">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Šipovo</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100.000,00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50.000,00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0,32%</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Stanari</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160.000,00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80.000,00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0,51%</w:t>
            </w:r>
          </w:p>
        </w:tc>
      </w:tr>
      <w:tr w:rsidR="005934B2" w:rsidRPr="001A0581" w:rsidTr="000366C5">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Kotor Varoš</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70.000,00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35.000,00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0,22%</w:t>
            </w:r>
          </w:p>
        </w:tc>
      </w:tr>
      <w:tr w:rsidR="005934B2" w:rsidRPr="001A0581" w:rsidTr="000366C5">
        <w:trPr>
          <w:trHeight w:val="33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Microsoft Sans Serif" w:hAnsi="Microsoft Sans Serif" w:cs="Microsoft Sans Serif"/>
                <w:sz w:val="15"/>
                <w:szCs w:val="15"/>
              </w:rPr>
            </w:pPr>
            <w:r w:rsidRPr="001A0581">
              <w:rPr>
                <w:rFonts w:ascii="Microsoft Sans Serif" w:hAnsi="Microsoft Sans Serif" w:cs="Microsoft Sans Serif"/>
                <w:sz w:val="15"/>
                <w:szCs w:val="15"/>
              </w:rPr>
              <w:t>Doboj Jug</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Microsoft Sans Serif" w:hAnsi="Microsoft Sans Serif" w:cs="Microsoft Sans Serif"/>
                <w:sz w:val="15"/>
                <w:szCs w:val="15"/>
              </w:rPr>
            </w:pPr>
            <w:r w:rsidRPr="001A0581">
              <w:rPr>
                <w:rFonts w:ascii="Microsoft Sans Serif" w:hAnsi="Microsoft Sans Serif" w:cs="Microsoft Sans Serif"/>
                <w:sz w:val="15"/>
                <w:szCs w:val="15"/>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Microsoft Sans Serif" w:hAnsi="Microsoft Sans Serif" w:cs="Microsoft Sans Serif"/>
                <w:sz w:val="15"/>
                <w:szCs w:val="15"/>
              </w:rPr>
            </w:pPr>
            <w:r w:rsidRPr="001A0581">
              <w:rPr>
                <w:rFonts w:ascii="Microsoft Sans Serif" w:hAnsi="Microsoft Sans Serif" w:cs="Microsoft Sans Serif"/>
                <w:sz w:val="15"/>
                <w:szCs w:val="15"/>
              </w:rPr>
              <w:t>40.000,00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0,13%</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Calibri" w:hAnsi="Calibri"/>
                <w:sz w:val="18"/>
                <w:szCs w:val="18"/>
              </w:rPr>
            </w:pPr>
            <w:r w:rsidRPr="001A0581">
              <w:rPr>
                <w:rFonts w:ascii="Calibri" w:hAnsi="Calibri"/>
                <w:sz w:val="18"/>
                <w:szCs w:val="18"/>
              </w:rPr>
              <w:t>Ljubinje</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300.000,00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150.000,00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0,96%</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left"/>
              <w:rPr>
                <w:rFonts w:ascii="Calibri" w:hAnsi="Calibri"/>
                <w:sz w:val="18"/>
                <w:szCs w:val="18"/>
              </w:rPr>
            </w:pPr>
            <w:r w:rsidRPr="001A0581">
              <w:rPr>
                <w:rFonts w:ascii="Calibri" w:hAnsi="Calibri"/>
                <w:sz w:val="18"/>
                <w:szCs w:val="18"/>
              </w:rPr>
              <w:t>Šekovići</w:t>
            </w:r>
          </w:p>
        </w:tc>
        <w:tc>
          <w:tcPr>
            <w:tcW w:w="1134"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w:t>
            </w:r>
          </w:p>
        </w:tc>
        <w:tc>
          <w:tcPr>
            <w:tcW w:w="2126"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1.000.000,00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500.000,00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3,20%</w:t>
            </w:r>
          </w:p>
        </w:tc>
      </w:tr>
      <w:tr w:rsidR="005934B2" w:rsidRPr="001A0581" w:rsidTr="000366C5">
        <w:trPr>
          <w:trHeight w:val="315"/>
        </w:trPr>
        <w:tc>
          <w:tcPr>
            <w:tcW w:w="2000" w:type="dxa"/>
            <w:tcBorders>
              <w:top w:val="nil"/>
              <w:left w:val="single" w:sz="4" w:space="0" w:color="auto"/>
              <w:bottom w:val="single" w:sz="4" w:space="0" w:color="auto"/>
              <w:right w:val="single" w:sz="4" w:space="0" w:color="auto"/>
            </w:tcBorders>
            <w:shd w:val="clear" w:color="000000" w:fill="8DB3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UKUPNO</w:t>
            </w:r>
          </w:p>
        </w:tc>
        <w:tc>
          <w:tcPr>
            <w:tcW w:w="1134" w:type="dxa"/>
            <w:tcBorders>
              <w:top w:val="nil"/>
              <w:left w:val="nil"/>
              <w:bottom w:val="single" w:sz="4" w:space="0" w:color="auto"/>
              <w:right w:val="single" w:sz="4" w:space="0" w:color="auto"/>
            </w:tcBorders>
            <w:shd w:val="clear" w:color="000000" w:fill="8DB3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100</w:t>
            </w:r>
          </w:p>
        </w:tc>
        <w:tc>
          <w:tcPr>
            <w:tcW w:w="2126" w:type="dxa"/>
            <w:tcBorders>
              <w:top w:val="nil"/>
              <w:left w:val="nil"/>
              <w:bottom w:val="single" w:sz="4" w:space="0" w:color="auto"/>
              <w:right w:val="single" w:sz="4" w:space="0" w:color="auto"/>
            </w:tcBorders>
            <w:shd w:val="clear" w:color="000000" w:fill="8DB3E2"/>
            <w:vAlign w:val="center"/>
            <w:hideMark/>
          </w:tcPr>
          <w:p w:rsidR="005934B2" w:rsidRPr="001A0581" w:rsidRDefault="005934B2" w:rsidP="000366C5">
            <w:pPr>
              <w:jc w:val="right"/>
              <w:rPr>
                <w:rFonts w:ascii="Calibri" w:hAnsi="Calibri"/>
                <w:b/>
                <w:bCs/>
                <w:sz w:val="18"/>
                <w:szCs w:val="18"/>
              </w:rPr>
            </w:pPr>
            <w:r w:rsidRPr="001A0581">
              <w:rPr>
                <w:rFonts w:ascii="Calibri" w:hAnsi="Calibri"/>
                <w:b/>
                <w:bCs/>
                <w:sz w:val="18"/>
                <w:szCs w:val="18"/>
              </w:rPr>
              <w:t>31.274.550,00</w:t>
            </w:r>
          </w:p>
        </w:tc>
        <w:tc>
          <w:tcPr>
            <w:tcW w:w="1559" w:type="dxa"/>
            <w:tcBorders>
              <w:top w:val="nil"/>
              <w:left w:val="nil"/>
              <w:bottom w:val="single" w:sz="4" w:space="0" w:color="auto"/>
              <w:right w:val="single" w:sz="4" w:space="0" w:color="auto"/>
            </w:tcBorders>
            <w:shd w:val="clear" w:color="000000" w:fill="8DB3E2"/>
            <w:vAlign w:val="center"/>
            <w:hideMark/>
          </w:tcPr>
          <w:p w:rsidR="005934B2" w:rsidRPr="001A0581" w:rsidRDefault="005934B2" w:rsidP="000366C5">
            <w:pPr>
              <w:jc w:val="right"/>
              <w:rPr>
                <w:rFonts w:ascii="Calibri" w:hAnsi="Calibri"/>
                <w:b/>
                <w:bCs/>
                <w:sz w:val="18"/>
                <w:szCs w:val="18"/>
              </w:rPr>
            </w:pPr>
            <w:r w:rsidRPr="001A0581">
              <w:rPr>
                <w:rFonts w:ascii="Calibri" w:hAnsi="Calibri"/>
                <w:b/>
                <w:bCs/>
                <w:sz w:val="18"/>
                <w:szCs w:val="18"/>
              </w:rPr>
              <w:t>15.637.275,00</w:t>
            </w:r>
          </w:p>
        </w:tc>
        <w:tc>
          <w:tcPr>
            <w:tcW w:w="1985" w:type="dxa"/>
            <w:tcBorders>
              <w:top w:val="nil"/>
              <w:left w:val="nil"/>
              <w:bottom w:val="single" w:sz="4" w:space="0" w:color="auto"/>
              <w:right w:val="single" w:sz="4" w:space="0" w:color="auto"/>
            </w:tcBorders>
            <w:shd w:val="clear" w:color="000000" w:fill="8DB3E2"/>
            <w:noWrap/>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100,00%</w:t>
            </w:r>
          </w:p>
        </w:tc>
      </w:tr>
    </w:tbl>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5767EF">
        <w:rPr>
          <w:rFonts w:asciiTheme="minorHAnsi" w:eastAsiaTheme="minorHAnsi" w:hAnsiTheme="minorHAnsi"/>
          <w:color w:val="auto"/>
          <w:sz w:val="20"/>
          <w:szCs w:val="20"/>
          <w:lang w:val="sr-Cyrl-BA" w:eastAsia="en-US"/>
        </w:rPr>
        <w:t xml:space="preserve">Kada je u pitanju disperzija </w:t>
      </w:r>
      <w:r>
        <w:rPr>
          <w:rFonts w:asciiTheme="minorHAnsi" w:eastAsiaTheme="minorHAnsi" w:hAnsiTheme="minorHAnsi"/>
          <w:color w:val="auto"/>
          <w:sz w:val="20"/>
          <w:szCs w:val="20"/>
          <w:lang w:val="sr-Cyrl-BA" w:eastAsia="en-US"/>
        </w:rPr>
        <w:t xml:space="preserve">izdanih </w:t>
      </w:r>
      <w:r w:rsidRPr="005767EF">
        <w:rPr>
          <w:rFonts w:asciiTheme="minorHAnsi" w:eastAsiaTheme="minorHAnsi" w:hAnsiTheme="minorHAnsi"/>
          <w:color w:val="auto"/>
          <w:sz w:val="20"/>
          <w:szCs w:val="20"/>
          <w:lang w:val="sr-Cyrl-BA" w:eastAsia="en-US"/>
        </w:rPr>
        <w:t>garancija po gradovima i opštinama</w:t>
      </w:r>
      <w:r>
        <w:rPr>
          <w:rFonts w:asciiTheme="minorHAnsi" w:eastAsiaTheme="minorHAnsi" w:hAnsiTheme="minorHAnsi"/>
          <w:color w:val="auto"/>
          <w:sz w:val="20"/>
          <w:szCs w:val="20"/>
          <w:lang w:val="sr-Cyrl-BA" w:eastAsia="en-US"/>
        </w:rPr>
        <w:t>,</w:t>
      </w:r>
      <w:r w:rsidRPr="005767EF">
        <w:rPr>
          <w:rFonts w:asciiTheme="minorHAnsi" w:eastAsiaTheme="minorHAnsi" w:hAnsiTheme="minorHAnsi"/>
          <w:color w:val="auto"/>
          <w:sz w:val="20"/>
          <w:szCs w:val="20"/>
          <w:lang w:val="sr-Cyrl-BA" w:eastAsia="en-US"/>
        </w:rPr>
        <w:t xml:space="preserve"> može se konstatovati </w:t>
      </w:r>
      <w:r>
        <w:rPr>
          <w:rFonts w:asciiTheme="minorHAnsi" w:eastAsiaTheme="minorHAnsi" w:hAnsiTheme="minorHAnsi"/>
          <w:color w:val="auto"/>
          <w:sz w:val="20"/>
          <w:szCs w:val="20"/>
          <w:lang w:val="sr-Cyrl-BA" w:eastAsia="en-US"/>
        </w:rPr>
        <w:t>da je najviše garancija iz kred</w:t>
      </w:r>
      <w:r w:rsidRPr="005767EF">
        <w:rPr>
          <w:rFonts w:asciiTheme="minorHAnsi" w:eastAsiaTheme="minorHAnsi" w:hAnsiTheme="minorHAnsi"/>
          <w:color w:val="auto"/>
          <w:sz w:val="20"/>
          <w:szCs w:val="20"/>
          <w:lang w:val="sr-Cyrl-BA" w:eastAsia="en-US"/>
        </w:rPr>
        <w:t>itnog portfelja</w:t>
      </w:r>
      <w:r>
        <w:rPr>
          <w:rFonts w:asciiTheme="minorHAnsi" w:eastAsiaTheme="minorHAnsi" w:hAnsiTheme="minorHAnsi"/>
          <w:color w:val="auto"/>
          <w:sz w:val="20"/>
          <w:szCs w:val="20"/>
          <w:lang w:val="sr-Cyrl-BA" w:eastAsia="en-US"/>
        </w:rPr>
        <w:t xml:space="preserve"> tokom 2024. godine</w:t>
      </w:r>
      <w:r w:rsidRPr="005767EF">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bilo usmjereno prema poslovnim subjektima</w:t>
      </w:r>
      <w:r w:rsidRPr="005767EF">
        <w:rPr>
          <w:rFonts w:asciiTheme="minorHAnsi" w:eastAsiaTheme="minorHAnsi" w:hAnsiTheme="minorHAnsi"/>
          <w:color w:val="auto"/>
          <w:sz w:val="20"/>
          <w:szCs w:val="20"/>
          <w:lang w:val="sr-Cyrl-BA" w:eastAsia="en-US"/>
        </w:rPr>
        <w:t xml:space="preserve"> sa područja Banja Luke, Bijeljine i </w:t>
      </w:r>
      <w:r>
        <w:rPr>
          <w:rFonts w:asciiTheme="minorHAnsi" w:eastAsiaTheme="minorHAnsi" w:hAnsiTheme="minorHAnsi"/>
          <w:color w:val="auto"/>
          <w:sz w:val="20"/>
          <w:szCs w:val="20"/>
          <w:lang w:val="sr-Cyrl-BA" w:eastAsia="en-US"/>
        </w:rPr>
        <w:t>Laktaša. Garancije izdane radi obezbjeđenja kredita privrednika iz tri navedena grada imaju učešće od 60,07% u ukupno izdanim garancijama u okviru kreditnog portfelja.</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5767EF" w:rsidRDefault="005934B2" w:rsidP="00A401F8">
      <w:pPr>
        <w:autoSpaceDE w:val="0"/>
        <w:autoSpaceDN w:val="0"/>
        <w:adjustRightInd w:val="0"/>
        <w:rPr>
          <w:rFonts w:asciiTheme="minorHAnsi" w:eastAsiaTheme="minorHAnsi" w:hAnsiTheme="minorHAnsi"/>
          <w:color w:val="auto"/>
          <w:sz w:val="20"/>
          <w:szCs w:val="20"/>
          <w:lang w:val="sr-Cyrl-BA" w:eastAsia="en-US"/>
        </w:rPr>
      </w:pPr>
    </w:p>
    <w:tbl>
      <w:tblPr>
        <w:tblW w:w="8647" w:type="dxa"/>
        <w:tblInd w:w="108" w:type="dxa"/>
        <w:tblLook w:val="04A0" w:firstRow="1" w:lastRow="0" w:firstColumn="1" w:lastColumn="0" w:noHBand="0" w:noVBand="1"/>
      </w:tblPr>
      <w:tblGrid>
        <w:gridCol w:w="8647"/>
      </w:tblGrid>
      <w:tr w:rsidR="005934B2" w:rsidRPr="005767EF" w:rsidTr="000366C5">
        <w:trPr>
          <w:trHeight w:val="465"/>
        </w:trPr>
        <w:tc>
          <w:tcPr>
            <w:tcW w:w="8647" w:type="dxa"/>
            <w:tcBorders>
              <w:top w:val="nil"/>
              <w:left w:val="nil"/>
              <w:bottom w:val="nil"/>
              <w:right w:val="nil"/>
            </w:tcBorders>
            <w:shd w:val="clear" w:color="000000" w:fill="FFFFFF"/>
            <w:vAlign w:val="center"/>
            <w:hideMark/>
          </w:tcPr>
          <w:p w:rsidR="005934B2" w:rsidRPr="002663DB" w:rsidRDefault="005934B2" w:rsidP="000366C5">
            <w:pPr>
              <w:jc w:val="center"/>
              <w:rPr>
                <w:rFonts w:asciiTheme="minorHAnsi" w:hAnsiTheme="minorHAnsi"/>
                <w:b/>
                <w:bCs/>
                <w:sz w:val="20"/>
                <w:szCs w:val="20"/>
                <w:lang w:val="sr-Cyrl-RS" w:eastAsia="sr-Latn-RS"/>
              </w:rPr>
            </w:pPr>
            <w:r w:rsidRPr="005767EF">
              <w:rPr>
                <w:rFonts w:asciiTheme="minorHAnsi" w:hAnsiTheme="minorHAnsi"/>
                <w:b/>
                <w:bCs/>
                <w:sz w:val="20"/>
                <w:szCs w:val="20"/>
                <w:lang w:val="sr-Latn-RS" w:eastAsia="sr-Latn-RS"/>
              </w:rPr>
              <w:t>Kumulativni pregled izdan</w:t>
            </w:r>
            <w:r w:rsidRPr="005767EF">
              <w:rPr>
                <w:rFonts w:asciiTheme="minorHAnsi" w:hAnsiTheme="minorHAnsi"/>
                <w:b/>
                <w:bCs/>
                <w:sz w:val="20"/>
                <w:szCs w:val="20"/>
                <w:lang w:val="sr-Cyrl-BA" w:eastAsia="sr-Latn-RS"/>
              </w:rPr>
              <w:t>i</w:t>
            </w:r>
            <w:r w:rsidRPr="005767EF">
              <w:rPr>
                <w:rFonts w:asciiTheme="minorHAnsi" w:hAnsiTheme="minorHAnsi"/>
                <w:b/>
                <w:bCs/>
                <w:sz w:val="20"/>
                <w:szCs w:val="20"/>
                <w:lang w:val="sr-Latn-RS" w:eastAsia="sr-Latn-RS"/>
              </w:rPr>
              <w:t>h garancija</w:t>
            </w:r>
            <w:r>
              <w:rPr>
                <w:rFonts w:asciiTheme="minorHAnsi" w:hAnsiTheme="minorHAnsi"/>
                <w:b/>
                <w:bCs/>
                <w:sz w:val="20"/>
                <w:szCs w:val="20"/>
                <w:lang w:val="sr-Cyrl-RS" w:eastAsia="sr-Latn-RS"/>
              </w:rPr>
              <w:t xml:space="preserve"> u okviru kreditnog portfelja</w:t>
            </w:r>
            <w:r>
              <w:rPr>
                <w:rFonts w:asciiTheme="minorHAnsi" w:hAnsiTheme="minorHAnsi"/>
                <w:b/>
                <w:bCs/>
                <w:sz w:val="20"/>
                <w:szCs w:val="20"/>
                <w:lang w:val="sr-Latn-RS" w:eastAsia="sr-Latn-RS"/>
              </w:rPr>
              <w:t xml:space="preserve"> </w:t>
            </w:r>
            <w:r>
              <w:rPr>
                <w:rFonts w:asciiTheme="minorHAnsi" w:hAnsiTheme="minorHAnsi"/>
                <w:b/>
                <w:bCs/>
                <w:sz w:val="20"/>
                <w:szCs w:val="20"/>
                <w:lang w:val="sr-Cyrl-RS" w:eastAsia="sr-Latn-RS"/>
              </w:rPr>
              <w:t>po godinama</w:t>
            </w:r>
          </w:p>
        </w:tc>
      </w:tr>
    </w:tbl>
    <w:p w:rsidR="005934B2" w:rsidRPr="005767EF"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1A0581" w:rsidRDefault="005934B2" w:rsidP="00A401F8">
      <w:pPr>
        <w:autoSpaceDE w:val="0"/>
        <w:autoSpaceDN w:val="0"/>
        <w:adjustRightInd w:val="0"/>
        <w:rPr>
          <w:rFonts w:asciiTheme="minorHAnsi" w:eastAsiaTheme="minorHAnsi" w:hAnsiTheme="minorHAnsi"/>
          <w:b/>
          <w:color w:val="auto"/>
          <w:sz w:val="20"/>
          <w:szCs w:val="20"/>
          <w:lang w:val="sr-Cyrl-BA" w:eastAsia="en-US"/>
        </w:rPr>
      </w:pP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sidRPr="005767EF">
        <w:rPr>
          <w:rFonts w:asciiTheme="minorHAnsi" w:eastAsiaTheme="minorHAnsi" w:hAnsiTheme="minorHAnsi"/>
          <w:color w:val="auto"/>
          <w:sz w:val="20"/>
          <w:szCs w:val="20"/>
          <w:lang w:val="sr-Cyrl-BA" w:eastAsia="en-US"/>
        </w:rPr>
        <w:tab/>
      </w:r>
      <w:r>
        <w:rPr>
          <w:rFonts w:asciiTheme="minorHAnsi" w:eastAsiaTheme="minorHAnsi" w:hAnsiTheme="minorHAnsi"/>
          <w:b/>
          <w:color w:val="auto"/>
          <w:sz w:val="20"/>
          <w:szCs w:val="20"/>
          <w:lang w:val="sr-Cyrl-BA" w:eastAsia="en-US"/>
        </w:rPr>
        <w:t>Tabela 8</w:t>
      </w:r>
    </w:p>
    <w:tbl>
      <w:tblPr>
        <w:tblW w:w="8804" w:type="dxa"/>
        <w:tblInd w:w="93" w:type="dxa"/>
        <w:tblLook w:val="04A0" w:firstRow="1" w:lastRow="0" w:firstColumn="1" w:lastColumn="0" w:noHBand="0" w:noVBand="1"/>
      </w:tblPr>
      <w:tblGrid>
        <w:gridCol w:w="1291"/>
        <w:gridCol w:w="1418"/>
        <w:gridCol w:w="1842"/>
        <w:gridCol w:w="2268"/>
        <w:gridCol w:w="1985"/>
      </w:tblGrid>
      <w:tr w:rsidR="005934B2" w:rsidRPr="001A0581" w:rsidTr="000366C5">
        <w:trPr>
          <w:trHeight w:val="735"/>
        </w:trPr>
        <w:tc>
          <w:tcPr>
            <w:tcW w:w="1291" w:type="dxa"/>
            <w:tcBorders>
              <w:top w:val="single" w:sz="4" w:space="0" w:color="auto"/>
              <w:left w:val="single" w:sz="4" w:space="0" w:color="auto"/>
              <w:bottom w:val="nil"/>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Godina</w:t>
            </w:r>
          </w:p>
        </w:tc>
        <w:tc>
          <w:tcPr>
            <w:tcW w:w="1418" w:type="dxa"/>
            <w:tcBorders>
              <w:top w:val="single" w:sz="4" w:space="0" w:color="auto"/>
              <w:left w:val="nil"/>
              <w:bottom w:val="nil"/>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Broj kredita</w:t>
            </w:r>
          </w:p>
        </w:tc>
        <w:tc>
          <w:tcPr>
            <w:tcW w:w="1842" w:type="dxa"/>
            <w:tcBorders>
              <w:top w:val="single" w:sz="4" w:space="0" w:color="auto"/>
              <w:left w:val="nil"/>
              <w:bottom w:val="nil"/>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Iznos kredita</w:t>
            </w:r>
          </w:p>
        </w:tc>
        <w:tc>
          <w:tcPr>
            <w:tcW w:w="2268" w:type="dxa"/>
            <w:tcBorders>
              <w:top w:val="single" w:sz="4" w:space="0" w:color="auto"/>
              <w:left w:val="nil"/>
              <w:bottom w:val="nil"/>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Iznos garancije</w:t>
            </w:r>
          </w:p>
        </w:tc>
        <w:tc>
          <w:tcPr>
            <w:tcW w:w="1985" w:type="dxa"/>
            <w:tcBorders>
              <w:top w:val="single" w:sz="4" w:space="0" w:color="auto"/>
              <w:left w:val="nil"/>
              <w:bottom w:val="single" w:sz="4" w:space="0" w:color="auto"/>
              <w:right w:val="single" w:sz="4" w:space="0" w:color="auto"/>
            </w:tcBorders>
            <w:shd w:val="clear" w:color="000000" w:fill="8DB4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Učešće</w:t>
            </w:r>
          </w:p>
        </w:tc>
      </w:tr>
      <w:tr w:rsidR="005934B2" w:rsidRPr="001A0581" w:rsidTr="000366C5">
        <w:trPr>
          <w:trHeight w:val="315"/>
        </w:trPr>
        <w:tc>
          <w:tcPr>
            <w:tcW w:w="12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2021.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42</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14.283.166,88</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7.141.583,44</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16,29%</w:t>
            </w:r>
          </w:p>
        </w:tc>
      </w:tr>
      <w:tr w:rsidR="005934B2" w:rsidRPr="001A0581" w:rsidTr="000366C5">
        <w:trPr>
          <w:trHeight w:val="315"/>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2022.</w:t>
            </w:r>
          </w:p>
        </w:tc>
        <w:tc>
          <w:tcPr>
            <w:tcW w:w="1418"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73</w:t>
            </w:r>
          </w:p>
        </w:tc>
        <w:tc>
          <w:tcPr>
            <w:tcW w:w="1842"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12.365.400,00</w:t>
            </w:r>
          </w:p>
        </w:tc>
        <w:tc>
          <w:tcPr>
            <w:tcW w:w="2268"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6.182.685,00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14,10%</w:t>
            </w:r>
          </w:p>
        </w:tc>
      </w:tr>
      <w:tr w:rsidR="005934B2" w:rsidRPr="001A0581" w:rsidTr="000366C5">
        <w:trPr>
          <w:trHeight w:val="315"/>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2023.</w:t>
            </w:r>
          </w:p>
        </w:tc>
        <w:tc>
          <w:tcPr>
            <w:tcW w:w="1418"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122</w:t>
            </w:r>
          </w:p>
        </w:tc>
        <w:tc>
          <w:tcPr>
            <w:tcW w:w="1842"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29.762.000,03</w:t>
            </w:r>
          </w:p>
        </w:tc>
        <w:tc>
          <w:tcPr>
            <w:tcW w:w="2268"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14.881.000,03</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33,94%</w:t>
            </w:r>
          </w:p>
        </w:tc>
      </w:tr>
      <w:tr w:rsidR="005934B2" w:rsidRPr="001A0581" w:rsidTr="000366C5">
        <w:trPr>
          <w:trHeight w:val="315"/>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2024.</w:t>
            </w:r>
          </w:p>
        </w:tc>
        <w:tc>
          <w:tcPr>
            <w:tcW w:w="1418"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center"/>
              <w:rPr>
                <w:rFonts w:ascii="Calibri" w:hAnsi="Calibri"/>
                <w:sz w:val="18"/>
                <w:szCs w:val="18"/>
              </w:rPr>
            </w:pPr>
            <w:r w:rsidRPr="001A0581">
              <w:rPr>
                <w:rFonts w:ascii="Calibri" w:hAnsi="Calibri"/>
                <w:sz w:val="18"/>
                <w:szCs w:val="18"/>
              </w:rPr>
              <w:t>100</w:t>
            </w:r>
          </w:p>
        </w:tc>
        <w:tc>
          <w:tcPr>
            <w:tcW w:w="1842"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31.274.550,00</w:t>
            </w:r>
          </w:p>
        </w:tc>
        <w:tc>
          <w:tcPr>
            <w:tcW w:w="2268"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15.637.275,00</w:t>
            </w:r>
          </w:p>
        </w:tc>
        <w:tc>
          <w:tcPr>
            <w:tcW w:w="1985" w:type="dxa"/>
            <w:tcBorders>
              <w:top w:val="nil"/>
              <w:left w:val="nil"/>
              <w:bottom w:val="single" w:sz="4" w:space="0" w:color="auto"/>
              <w:right w:val="single" w:sz="4" w:space="0" w:color="auto"/>
            </w:tcBorders>
            <w:shd w:val="clear" w:color="auto" w:fill="auto"/>
            <w:vAlign w:val="center"/>
            <w:hideMark/>
          </w:tcPr>
          <w:p w:rsidR="005934B2" w:rsidRPr="001A0581" w:rsidRDefault="005934B2" w:rsidP="000366C5">
            <w:pPr>
              <w:jc w:val="right"/>
              <w:rPr>
                <w:rFonts w:ascii="Calibri" w:hAnsi="Calibri"/>
                <w:sz w:val="18"/>
                <w:szCs w:val="18"/>
              </w:rPr>
            </w:pPr>
            <w:r w:rsidRPr="001A0581">
              <w:rPr>
                <w:rFonts w:ascii="Calibri" w:hAnsi="Calibri"/>
                <w:sz w:val="18"/>
                <w:szCs w:val="18"/>
              </w:rPr>
              <w:t>35,67%</w:t>
            </w:r>
          </w:p>
        </w:tc>
      </w:tr>
      <w:tr w:rsidR="005934B2" w:rsidRPr="001A0581" w:rsidTr="000366C5">
        <w:trPr>
          <w:trHeight w:val="315"/>
        </w:trPr>
        <w:tc>
          <w:tcPr>
            <w:tcW w:w="1291" w:type="dxa"/>
            <w:tcBorders>
              <w:top w:val="nil"/>
              <w:left w:val="single" w:sz="4" w:space="0" w:color="auto"/>
              <w:bottom w:val="single" w:sz="4" w:space="0" w:color="auto"/>
              <w:right w:val="single" w:sz="4" w:space="0" w:color="auto"/>
            </w:tcBorders>
            <w:shd w:val="clear" w:color="000000" w:fill="8DB3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Ukupno</w:t>
            </w:r>
          </w:p>
        </w:tc>
        <w:tc>
          <w:tcPr>
            <w:tcW w:w="1418" w:type="dxa"/>
            <w:tcBorders>
              <w:top w:val="nil"/>
              <w:left w:val="nil"/>
              <w:bottom w:val="single" w:sz="4" w:space="0" w:color="auto"/>
              <w:right w:val="single" w:sz="4" w:space="0" w:color="auto"/>
            </w:tcBorders>
            <w:shd w:val="clear" w:color="000000" w:fill="8DB3E2"/>
            <w:vAlign w:val="center"/>
            <w:hideMark/>
          </w:tcPr>
          <w:p w:rsidR="005934B2" w:rsidRPr="001A0581" w:rsidRDefault="005934B2" w:rsidP="000366C5">
            <w:pPr>
              <w:jc w:val="center"/>
              <w:rPr>
                <w:rFonts w:ascii="Calibri" w:hAnsi="Calibri"/>
                <w:b/>
                <w:bCs/>
                <w:sz w:val="18"/>
                <w:szCs w:val="18"/>
              </w:rPr>
            </w:pPr>
            <w:r w:rsidRPr="001A0581">
              <w:rPr>
                <w:rFonts w:ascii="Calibri" w:hAnsi="Calibri"/>
                <w:b/>
                <w:bCs/>
                <w:sz w:val="18"/>
                <w:szCs w:val="18"/>
              </w:rPr>
              <w:t>337</w:t>
            </w:r>
          </w:p>
        </w:tc>
        <w:tc>
          <w:tcPr>
            <w:tcW w:w="1842" w:type="dxa"/>
            <w:tcBorders>
              <w:top w:val="nil"/>
              <w:left w:val="nil"/>
              <w:bottom w:val="single" w:sz="4" w:space="0" w:color="auto"/>
              <w:right w:val="single" w:sz="4" w:space="0" w:color="auto"/>
            </w:tcBorders>
            <w:shd w:val="clear" w:color="000000" w:fill="8DB3E2"/>
            <w:vAlign w:val="center"/>
            <w:hideMark/>
          </w:tcPr>
          <w:p w:rsidR="005934B2" w:rsidRPr="001A0581" w:rsidRDefault="005934B2" w:rsidP="000366C5">
            <w:pPr>
              <w:jc w:val="right"/>
              <w:rPr>
                <w:rFonts w:ascii="Calibri" w:hAnsi="Calibri"/>
                <w:b/>
                <w:bCs/>
                <w:sz w:val="18"/>
                <w:szCs w:val="18"/>
              </w:rPr>
            </w:pPr>
            <w:r w:rsidRPr="001A0581">
              <w:rPr>
                <w:rFonts w:ascii="Calibri" w:hAnsi="Calibri"/>
                <w:b/>
                <w:bCs/>
                <w:sz w:val="18"/>
                <w:szCs w:val="18"/>
              </w:rPr>
              <w:t>87.685.116,91</w:t>
            </w:r>
          </w:p>
        </w:tc>
        <w:tc>
          <w:tcPr>
            <w:tcW w:w="2268" w:type="dxa"/>
            <w:tcBorders>
              <w:top w:val="nil"/>
              <w:left w:val="nil"/>
              <w:bottom w:val="single" w:sz="4" w:space="0" w:color="auto"/>
              <w:right w:val="single" w:sz="4" w:space="0" w:color="auto"/>
            </w:tcBorders>
            <w:shd w:val="clear" w:color="000000" w:fill="8DB3E2"/>
            <w:vAlign w:val="center"/>
            <w:hideMark/>
          </w:tcPr>
          <w:p w:rsidR="005934B2" w:rsidRPr="001A0581" w:rsidRDefault="005934B2" w:rsidP="000366C5">
            <w:pPr>
              <w:jc w:val="right"/>
              <w:rPr>
                <w:rFonts w:ascii="Calibri" w:hAnsi="Calibri"/>
                <w:b/>
                <w:bCs/>
                <w:sz w:val="18"/>
                <w:szCs w:val="18"/>
              </w:rPr>
            </w:pPr>
            <w:r w:rsidRPr="001A0581">
              <w:rPr>
                <w:rFonts w:ascii="Calibri" w:hAnsi="Calibri"/>
                <w:b/>
                <w:bCs/>
                <w:sz w:val="18"/>
                <w:szCs w:val="18"/>
              </w:rPr>
              <w:t>43.842.543,47</w:t>
            </w:r>
          </w:p>
        </w:tc>
        <w:tc>
          <w:tcPr>
            <w:tcW w:w="1985" w:type="dxa"/>
            <w:tcBorders>
              <w:top w:val="nil"/>
              <w:left w:val="nil"/>
              <w:bottom w:val="single" w:sz="4" w:space="0" w:color="auto"/>
              <w:right w:val="single" w:sz="4" w:space="0" w:color="auto"/>
            </w:tcBorders>
            <w:shd w:val="clear" w:color="000000" w:fill="8DB3E2"/>
            <w:vAlign w:val="center"/>
            <w:hideMark/>
          </w:tcPr>
          <w:p w:rsidR="005934B2" w:rsidRPr="001A0581" w:rsidRDefault="005934B2" w:rsidP="000366C5">
            <w:pPr>
              <w:jc w:val="right"/>
              <w:rPr>
                <w:rFonts w:ascii="Calibri" w:hAnsi="Calibri"/>
                <w:b/>
                <w:bCs/>
                <w:sz w:val="18"/>
                <w:szCs w:val="18"/>
              </w:rPr>
            </w:pPr>
            <w:r w:rsidRPr="001A0581">
              <w:rPr>
                <w:rFonts w:ascii="Calibri" w:hAnsi="Calibri"/>
                <w:b/>
                <w:bCs/>
                <w:sz w:val="18"/>
                <w:szCs w:val="18"/>
              </w:rPr>
              <w:t>100,00%</w:t>
            </w:r>
          </w:p>
        </w:tc>
      </w:tr>
    </w:tbl>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5767EF" w:rsidRDefault="005934B2" w:rsidP="00A401F8">
      <w:pPr>
        <w:autoSpaceDE w:val="0"/>
        <w:autoSpaceDN w:val="0"/>
        <w:adjustRightInd w:val="0"/>
        <w:rPr>
          <w:rFonts w:asciiTheme="minorHAnsi" w:hAnsiTheme="minorHAnsi"/>
          <w:sz w:val="20"/>
          <w:szCs w:val="20"/>
          <w:lang w:val="sr-Cyrl-BA" w:eastAsia="sr-Latn-RS"/>
        </w:rPr>
      </w:pPr>
      <w:r>
        <w:rPr>
          <w:rFonts w:asciiTheme="minorHAnsi" w:eastAsiaTheme="minorHAnsi" w:hAnsiTheme="minorHAnsi"/>
          <w:color w:val="auto"/>
          <w:sz w:val="20"/>
          <w:szCs w:val="20"/>
          <w:lang w:val="sr-Cyrl-BA" w:eastAsia="en-US"/>
        </w:rPr>
        <w:t xml:space="preserve">Na </w:t>
      </w:r>
      <w:r w:rsidRPr="005767EF">
        <w:rPr>
          <w:rFonts w:asciiTheme="minorHAnsi" w:eastAsiaTheme="minorHAnsi" w:hAnsiTheme="minorHAnsi"/>
          <w:color w:val="auto"/>
          <w:sz w:val="20"/>
          <w:szCs w:val="20"/>
          <w:lang w:val="sr-Cyrl-BA" w:eastAsia="en-US"/>
        </w:rPr>
        <w:t>osnovu potpisanih ugovora o garantovanju kreditnog p</w:t>
      </w:r>
      <w:r>
        <w:rPr>
          <w:rFonts w:asciiTheme="minorHAnsi" w:eastAsiaTheme="minorHAnsi" w:hAnsiTheme="minorHAnsi"/>
          <w:color w:val="auto"/>
          <w:sz w:val="20"/>
          <w:szCs w:val="20"/>
          <w:lang w:val="sr-Cyrl-BA" w:eastAsia="en-US"/>
        </w:rPr>
        <w:t xml:space="preserve">ortfelja finansijskih posrednika, za četiri godine je </w:t>
      </w:r>
      <w:r w:rsidRPr="005767EF">
        <w:rPr>
          <w:rFonts w:asciiTheme="minorHAnsi" w:eastAsiaTheme="minorHAnsi" w:hAnsiTheme="minorHAnsi"/>
          <w:color w:val="auto"/>
          <w:sz w:val="20"/>
          <w:szCs w:val="20"/>
          <w:lang w:val="sr-Cyrl-BA" w:eastAsia="en-US"/>
        </w:rPr>
        <w:t xml:space="preserve">izdano </w:t>
      </w:r>
      <w:r>
        <w:rPr>
          <w:rFonts w:asciiTheme="minorHAnsi" w:eastAsiaTheme="minorHAnsi" w:hAnsiTheme="minorHAnsi"/>
          <w:color w:val="auto"/>
          <w:sz w:val="20"/>
          <w:szCs w:val="20"/>
          <w:lang w:val="sr-Cyrl-BA" w:eastAsia="en-US"/>
        </w:rPr>
        <w:t xml:space="preserve">337 garancija u iznosu od 43.842.543,47 </w:t>
      </w:r>
      <w:r w:rsidRPr="005767EF">
        <w:rPr>
          <w:rFonts w:asciiTheme="minorHAnsi" w:eastAsiaTheme="minorHAnsi" w:hAnsiTheme="minorHAnsi"/>
          <w:color w:val="auto"/>
          <w:sz w:val="20"/>
          <w:szCs w:val="20"/>
          <w:lang w:val="sr-Cyrl-BA" w:eastAsia="en-US"/>
        </w:rPr>
        <w:t>KM</w:t>
      </w:r>
      <w:r>
        <w:rPr>
          <w:rFonts w:asciiTheme="minorHAnsi" w:eastAsiaTheme="minorHAnsi" w:hAnsiTheme="minorHAnsi"/>
          <w:color w:val="auto"/>
          <w:sz w:val="20"/>
          <w:szCs w:val="20"/>
          <w:lang w:val="sr-Cyrl-BA" w:eastAsia="en-US"/>
        </w:rPr>
        <w:t>,</w:t>
      </w:r>
      <w:r w:rsidRPr="005767EF">
        <w:rPr>
          <w:rFonts w:asciiTheme="minorHAnsi" w:eastAsiaTheme="minorHAnsi" w:hAnsiTheme="minorHAnsi"/>
          <w:color w:val="auto"/>
          <w:sz w:val="20"/>
          <w:szCs w:val="20"/>
          <w:lang w:val="sr-Cyrl-BA" w:eastAsia="en-US"/>
        </w:rPr>
        <w:t xml:space="preserve"> čime je podržano </w:t>
      </w:r>
      <w:r>
        <w:rPr>
          <w:rFonts w:asciiTheme="minorHAnsi" w:eastAsiaTheme="minorHAnsi" w:hAnsiTheme="minorHAnsi"/>
          <w:color w:val="auto"/>
          <w:sz w:val="20"/>
          <w:szCs w:val="20"/>
          <w:lang w:val="sr-Cyrl-BA" w:eastAsia="en-US"/>
        </w:rPr>
        <w:t xml:space="preserve">87.685.116,91 </w:t>
      </w:r>
      <w:r w:rsidRPr="005767EF">
        <w:rPr>
          <w:rFonts w:asciiTheme="minorHAnsi" w:eastAsiaTheme="minorHAnsi" w:hAnsiTheme="minorHAnsi"/>
          <w:color w:val="auto"/>
          <w:sz w:val="20"/>
          <w:szCs w:val="20"/>
          <w:lang w:val="sr-Cyrl-BA" w:eastAsia="en-US"/>
        </w:rPr>
        <w:t>KM kreditnih plasmana finansijskih posrednika.</w:t>
      </w:r>
      <w:r>
        <w:rPr>
          <w:rFonts w:asciiTheme="minorHAnsi" w:eastAsiaTheme="minorHAnsi" w:hAnsiTheme="minorHAnsi"/>
          <w:color w:val="auto"/>
          <w:sz w:val="20"/>
          <w:szCs w:val="20"/>
          <w:lang w:val="sr-Cyrl-BA" w:eastAsia="en-US"/>
        </w:rPr>
        <w:t xml:space="preserve"> Tabela pokazuje tendenciju rasta plasiranih sredstava, što govori o tome da se finansijski posrednici sve više okreću ovom načinu odobravanja kredita, s obzirom na brojne prednosti u vidu skraćenja postupka odobravanja i zadržavanja kontrole u pogledu kreditne analize klijenta. Posmatrano po godinama, tokom 2024. godine je plasiran</w:t>
      </w:r>
      <w:r w:rsidRPr="005767EF">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najveći iznos kreditnih sredstava, odnosno garancija.</w:t>
      </w:r>
    </w:p>
    <w:p w:rsidR="005934B2" w:rsidRPr="005767EF" w:rsidRDefault="005934B2" w:rsidP="00A401F8">
      <w:pPr>
        <w:autoSpaceDE w:val="0"/>
        <w:autoSpaceDN w:val="0"/>
        <w:adjustRightInd w:val="0"/>
        <w:rPr>
          <w:rFonts w:asciiTheme="minorHAnsi" w:eastAsiaTheme="minorHAnsi" w:hAnsiTheme="minorHAnsi"/>
          <w:color w:val="FF0000"/>
          <w:sz w:val="20"/>
          <w:szCs w:val="20"/>
          <w:lang w:val="sr-Cyrl-BA" w:eastAsia="en-US"/>
        </w:rPr>
      </w:pPr>
    </w:p>
    <w:p w:rsidR="005934B2" w:rsidRPr="005767EF" w:rsidRDefault="005934B2" w:rsidP="00A401F8">
      <w:pPr>
        <w:autoSpaceDE w:val="0"/>
        <w:autoSpaceDN w:val="0"/>
        <w:adjustRightInd w:val="0"/>
        <w:jc w:val="center"/>
        <w:rPr>
          <w:rFonts w:asciiTheme="minorHAnsi" w:eastAsiaTheme="minorHAnsi" w:hAnsiTheme="minorHAnsi"/>
          <w:b/>
          <w:color w:val="auto"/>
          <w:sz w:val="20"/>
          <w:szCs w:val="20"/>
          <w:lang w:val="sr-Cyrl-BA" w:eastAsia="en-US"/>
        </w:rPr>
      </w:pPr>
      <w:r w:rsidRPr="005767EF">
        <w:rPr>
          <w:rFonts w:asciiTheme="minorHAnsi" w:eastAsiaTheme="minorHAnsi" w:hAnsiTheme="minorHAnsi"/>
          <w:b/>
          <w:color w:val="auto"/>
          <w:sz w:val="20"/>
          <w:szCs w:val="20"/>
          <w:lang w:val="sr-Cyrl-BA" w:eastAsia="en-US"/>
        </w:rPr>
        <w:t>Pregled realiza</w:t>
      </w:r>
      <w:r>
        <w:rPr>
          <w:rFonts w:asciiTheme="minorHAnsi" w:eastAsiaTheme="minorHAnsi" w:hAnsiTheme="minorHAnsi"/>
          <w:b/>
          <w:color w:val="auto"/>
          <w:sz w:val="20"/>
          <w:szCs w:val="20"/>
          <w:lang w:val="sr-Cyrl-BA" w:eastAsia="en-US"/>
        </w:rPr>
        <w:t>cije ugovorenog kreditnog portfelja</w:t>
      </w:r>
      <w:r w:rsidRPr="005767EF">
        <w:rPr>
          <w:rFonts w:asciiTheme="minorHAnsi" w:eastAsiaTheme="minorHAnsi" w:hAnsiTheme="minorHAnsi"/>
          <w:b/>
          <w:color w:val="auto"/>
          <w:sz w:val="20"/>
          <w:szCs w:val="20"/>
          <w:lang w:val="sr-Cyrl-BA" w:eastAsia="en-US"/>
        </w:rPr>
        <w:t xml:space="preserve"> na dan 31.12.202</w:t>
      </w:r>
      <w:r>
        <w:rPr>
          <w:rFonts w:asciiTheme="minorHAnsi" w:eastAsiaTheme="minorHAnsi" w:hAnsiTheme="minorHAnsi"/>
          <w:b/>
          <w:color w:val="auto"/>
          <w:sz w:val="20"/>
          <w:szCs w:val="20"/>
          <w:lang w:val="sr-Cyrl-BA" w:eastAsia="en-US"/>
        </w:rPr>
        <w:t>4</w:t>
      </w:r>
      <w:r w:rsidRPr="005767EF">
        <w:rPr>
          <w:rFonts w:asciiTheme="minorHAnsi" w:eastAsiaTheme="minorHAnsi" w:hAnsiTheme="minorHAnsi"/>
          <w:b/>
          <w:color w:val="auto"/>
          <w:sz w:val="20"/>
          <w:szCs w:val="20"/>
          <w:lang w:val="sr-Cyrl-BA" w:eastAsia="en-US"/>
        </w:rPr>
        <w:t>. godine</w:t>
      </w:r>
    </w:p>
    <w:p w:rsidR="005934B2" w:rsidRPr="00373796" w:rsidRDefault="005934B2" w:rsidP="00A401F8">
      <w:pPr>
        <w:autoSpaceDE w:val="0"/>
        <w:autoSpaceDN w:val="0"/>
        <w:adjustRightInd w:val="0"/>
        <w:rPr>
          <w:rFonts w:asciiTheme="minorHAnsi" w:eastAsiaTheme="minorHAnsi" w:hAnsiTheme="minorHAnsi"/>
          <w:b/>
          <w:color w:val="auto"/>
          <w:sz w:val="20"/>
          <w:szCs w:val="20"/>
          <w:lang w:val="sr-Cyrl-BA" w:eastAsia="en-US"/>
        </w:rPr>
      </w:pP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r>
      <w:r>
        <w:rPr>
          <w:rFonts w:asciiTheme="minorHAnsi" w:eastAsiaTheme="minorHAnsi" w:hAnsiTheme="minorHAnsi"/>
          <w:b/>
          <w:color w:val="auto"/>
          <w:sz w:val="20"/>
          <w:szCs w:val="20"/>
          <w:lang w:val="sr-Cyrl-BA" w:eastAsia="en-US"/>
        </w:rPr>
        <w:tab/>
        <w:t>Tabela 9</w:t>
      </w:r>
    </w:p>
    <w:tbl>
      <w:tblPr>
        <w:tblW w:w="8804" w:type="dxa"/>
        <w:tblInd w:w="93" w:type="dxa"/>
        <w:tblLook w:val="04A0" w:firstRow="1" w:lastRow="0" w:firstColumn="1" w:lastColumn="0" w:noHBand="0" w:noVBand="1"/>
      </w:tblPr>
      <w:tblGrid>
        <w:gridCol w:w="1719"/>
        <w:gridCol w:w="1840"/>
        <w:gridCol w:w="1134"/>
        <w:gridCol w:w="1649"/>
        <w:gridCol w:w="1271"/>
        <w:gridCol w:w="1191"/>
      </w:tblGrid>
      <w:tr w:rsidR="005934B2" w:rsidRPr="00373796" w:rsidTr="000366C5">
        <w:trPr>
          <w:trHeight w:val="720"/>
        </w:trPr>
        <w:tc>
          <w:tcPr>
            <w:tcW w:w="1719"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Finansijski posrednik</w:t>
            </w:r>
          </w:p>
        </w:tc>
        <w:tc>
          <w:tcPr>
            <w:tcW w:w="1840" w:type="dxa"/>
            <w:tcBorders>
              <w:top w:val="single" w:sz="4" w:space="0" w:color="auto"/>
              <w:left w:val="nil"/>
              <w:bottom w:val="single" w:sz="4" w:space="0" w:color="auto"/>
              <w:right w:val="single" w:sz="4" w:space="0" w:color="auto"/>
            </w:tcBorders>
            <w:shd w:val="clear" w:color="000000" w:fill="8DB4E2"/>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Portfelj</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Datum ugovora</w:t>
            </w:r>
          </w:p>
        </w:tc>
        <w:tc>
          <w:tcPr>
            <w:tcW w:w="1649" w:type="dxa"/>
            <w:tcBorders>
              <w:top w:val="single" w:sz="4" w:space="0" w:color="auto"/>
              <w:left w:val="nil"/>
              <w:bottom w:val="single" w:sz="4" w:space="0" w:color="auto"/>
              <w:right w:val="single" w:sz="4" w:space="0" w:color="auto"/>
            </w:tcBorders>
            <w:shd w:val="clear" w:color="000000" w:fill="8DB4E2"/>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Ugovoreni obim kreditnog portfelja ( KM)</w:t>
            </w:r>
          </w:p>
        </w:tc>
        <w:tc>
          <w:tcPr>
            <w:tcW w:w="1271" w:type="dxa"/>
            <w:tcBorders>
              <w:top w:val="single" w:sz="4" w:space="0" w:color="auto"/>
              <w:left w:val="nil"/>
              <w:bottom w:val="single" w:sz="4" w:space="0" w:color="auto"/>
              <w:right w:val="single" w:sz="4" w:space="0" w:color="auto"/>
            </w:tcBorders>
            <w:shd w:val="clear" w:color="000000" w:fill="8DB4E2"/>
            <w:vAlign w:val="center"/>
            <w:hideMark/>
          </w:tcPr>
          <w:p w:rsidR="005934B2" w:rsidRPr="00373796" w:rsidRDefault="005934B2" w:rsidP="000366C5">
            <w:pPr>
              <w:jc w:val="left"/>
              <w:rPr>
                <w:rFonts w:ascii="Calibri" w:hAnsi="Calibri"/>
                <w:b/>
                <w:bCs/>
                <w:sz w:val="18"/>
                <w:szCs w:val="18"/>
              </w:rPr>
            </w:pPr>
            <w:r w:rsidRPr="00373796">
              <w:rPr>
                <w:rFonts w:ascii="Calibri" w:hAnsi="Calibri"/>
                <w:b/>
                <w:bCs/>
                <w:sz w:val="18"/>
                <w:szCs w:val="18"/>
              </w:rPr>
              <w:t>Realizovani kreditni portfolio</w:t>
            </w:r>
          </w:p>
        </w:tc>
        <w:tc>
          <w:tcPr>
            <w:tcW w:w="1191" w:type="dxa"/>
            <w:tcBorders>
              <w:top w:val="single" w:sz="4" w:space="0" w:color="auto"/>
              <w:left w:val="nil"/>
              <w:bottom w:val="single" w:sz="4" w:space="0" w:color="auto"/>
              <w:right w:val="single" w:sz="4" w:space="0" w:color="auto"/>
            </w:tcBorders>
            <w:shd w:val="clear" w:color="000000" w:fill="8DB4E2"/>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Stopa realizacije</w:t>
            </w:r>
          </w:p>
        </w:tc>
      </w:tr>
      <w:tr w:rsidR="005934B2" w:rsidRPr="00373796" w:rsidTr="000366C5">
        <w:trPr>
          <w:trHeight w:val="315"/>
        </w:trPr>
        <w:tc>
          <w:tcPr>
            <w:tcW w:w="1719" w:type="dxa"/>
            <w:vMerge w:val="restart"/>
            <w:tcBorders>
              <w:top w:val="nil"/>
              <w:left w:val="single" w:sz="4" w:space="0" w:color="auto"/>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Procredit bank d.d. Bosna i Hercegovina</w:t>
            </w: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Opšti portfelj</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12.11.2021.</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40.000.000,00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39.923.000,01</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99,81%</w:t>
            </w:r>
          </w:p>
        </w:tc>
      </w:tr>
      <w:tr w:rsidR="005934B2" w:rsidRPr="00373796" w:rsidTr="000366C5">
        <w:trPr>
          <w:trHeight w:val="720"/>
        </w:trPr>
        <w:tc>
          <w:tcPr>
            <w:tcW w:w="1719" w:type="dxa"/>
            <w:vMerge/>
            <w:tcBorders>
              <w:top w:val="nil"/>
              <w:left w:val="single" w:sz="4" w:space="0" w:color="auto"/>
              <w:bottom w:val="single" w:sz="4" w:space="0" w:color="auto"/>
              <w:right w:val="single" w:sz="4" w:space="0" w:color="auto"/>
            </w:tcBorders>
            <w:vAlign w:val="center"/>
            <w:hideMark/>
          </w:tcPr>
          <w:p w:rsidR="005934B2" w:rsidRPr="00373796" w:rsidRDefault="005934B2" w:rsidP="000366C5">
            <w:pPr>
              <w:jc w:val="left"/>
              <w:rPr>
                <w:rFonts w:ascii="Calibri" w:hAnsi="Calibri"/>
                <w:sz w:val="18"/>
                <w:szCs w:val="18"/>
              </w:rPr>
            </w:pP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Portfelj za obnovljive izvore energije</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19.04.2023.</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20.000.000,00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9.848.000,00</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49,24%</w:t>
            </w:r>
          </w:p>
        </w:tc>
      </w:tr>
      <w:tr w:rsidR="005934B2" w:rsidRPr="00373796" w:rsidTr="000366C5">
        <w:trPr>
          <w:trHeight w:val="390"/>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xml:space="preserve">UKUPNO </w:t>
            </w:r>
          </w:p>
        </w:tc>
        <w:tc>
          <w:tcPr>
            <w:tcW w:w="1134"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60.000.000,00</w:t>
            </w:r>
          </w:p>
        </w:tc>
        <w:tc>
          <w:tcPr>
            <w:tcW w:w="1271"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49.771.000,01</w:t>
            </w:r>
          </w:p>
        </w:tc>
        <w:tc>
          <w:tcPr>
            <w:tcW w:w="1191" w:type="dxa"/>
            <w:tcBorders>
              <w:top w:val="nil"/>
              <w:left w:val="nil"/>
              <w:bottom w:val="single" w:sz="4" w:space="0" w:color="auto"/>
              <w:right w:val="single" w:sz="4" w:space="0" w:color="auto"/>
            </w:tcBorders>
            <w:shd w:val="clear" w:color="000000" w:fill="C5D9F1"/>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82,95%</w:t>
            </w:r>
          </w:p>
        </w:tc>
      </w:tr>
      <w:tr w:rsidR="005934B2" w:rsidRPr="00373796" w:rsidTr="000366C5">
        <w:trPr>
          <w:trHeight w:val="315"/>
        </w:trPr>
        <w:tc>
          <w:tcPr>
            <w:tcW w:w="1719" w:type="dxa"/>
            <w:vMerge w:val="restart"/>
            <w:tcBorders>
              <w:top w:val="nil"/>
              <w:left w:val="single" w:sz="4" w:space="0" w:color="auto"/>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Unicredit bank a.d. Banja Luka</w:t>
            </w: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Opšti portfelj</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02.08.2021.</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Pr>
                <w:rFonts w:ascii="Calibri" w:hAnsi="Calibri"/>
                <w:sz w:val="18"/>
                <w:szCs w:val="18"/>
                <w:lang w:val="sr-Cyrl-RS"/>
              </w:rPr>
              <w:t>4</w:t>
            </w:r>
            <w:r w:rsidRPr="00373796">
              <w:rPr>
                <w:rFonts w:ascii="Calibri" w:hAnsi="Calibri"/>
                <w:sz w:val="18"/>
                <w:szCs w:val="18"/>
              </w:rPr>
              <w:t>0.000.000,00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29.038.566,88</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Pr>
                <w:rFonts w:ascii="Calibri" w:hAnsi="Calibri"/>
                <w:sz w:val="18"/>
                <w:szCs w:val="18"/>
                <w:lang w:val="sr-Cyrl-RS"/>
              </w:rPr>
              <w:t>72,60</w:t>
            </w:r>
            <w:r w:rsidRPr="00373796">
              <w:rPr>
                <w:rFonts w:ascii="Calibri" w:hAnsi="Calibri"/>
                <w:sz w:val="18"/>
                <w:szCs w:val="18"/>
              </w:rPr>
              <w:t>%</w:t>
            </w:r>
          </w:p>
        </w:tc>
      </w:tr>
      <w:tr w:rsidR="005934B2" w:rsidRPr="00373796" w:rsidTr="000366C5">
        <w:trPr>
          <w:trHeight w:val="390"/>
        </w:trPr>
        <w:tc>
          <w:tcPr>
            <w:tcW w:w="1719" w:type="dxa"/>
            <w:vMerge/>
            <w:tcBorders>
              <w:top w:val="nil"/>
              <w:left w:val="single" w:sz="4" w:space="0" w:color="auto"/>
              <w:bottom w:val="single" w:sz="4" w:space="0" w:color="auto"/>
              <w:right w:val="single" w:sz="4" w:space="0" w:color="auto"/>
            </w:tcBorders>
            <w:vAlign w:val="center"/>
            <w:hideMark/>
          </w:tcPr>
          <w:p w:rsidR="005934B2" w:rsidRPr="00373796" w:rsidRDefault="005934B2" w:rsidP="000366C5">
            <w:pPr>
              <w:jc w:val="left"/>
              <w:rPr>
                <w:rFonts w:ascii="Calibri" w:hAnsi="Calibri"/>
                <w:sz w:val="18"/>
                <w:szCs w:val="18"/>
              </w:rPr>
            </w:pP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Portfelj za OIE</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19.12.2022.</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Pr>
                <w:rFonts w:ascii="Calibri" w:hAnsi="Calibri"/>
                <w:sz w:val="18"/>
                <w:szCs w:val="18"/>
                <w:lang w:val="sr-Cyrl-RS"/>
              </w:rPr>
              <w:t>1</w:t>
            </w:r>
            <w:r w:rsidRPr="00373796">
              <w:rPr>
                <w:rFonts w:ascii="Calibri" w:hAnsi="Calibri"/>
                <w:sz w:val="18"/>
                <w:szCs w:val="18"/>
              </w:rPr>
              <w:t>0.000.000,00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1.792.550,00</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Pr>
                <w:rFonts w:ascii="Calibri" w:hAnsi="Calibri"/>
                <w:sz w:val="18"/>
                <w:szCs w:val="18"/>
                <w:lang w:val="sr-Cyrl-RS"/>
              </w:rPr>
              <w:t>17,93</w:t>
            </w:r>
            <w:r w:rsidRPr="00373796">
              <w:rPr>
                <w:rFonts w:ascii="Calibri" w:hAnsi="Calibri"/>
                <w:sz w:val="18"/>
                <w:szCs w:val="18"/>
              </w:rPr>
              <w:t>%</w:t>
            </w:r>
          </w:p>
        </w:tc>
      </w:tr>
      <w:tr w:rsidR="005934B2" w:rsidRPr="00373796" w:rsidTr="000366C5">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UKUPNO</w:t>
            </w:r>
          </w:p>
        </w:tc>
        <w:tc>
          <w:tcPr>
            <w:tcW w:w="1134"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5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50.000.000,00</w:t>
            </w:r>
          </w:p>
        </w:tc>
        <w:tc>
          <w:tcPr>
            <w:tcW w:w="1271" w:type="dxa"/>
            <w:tcBorders>
              <w:top w:val="nil"/>
              <w:left w:val="nil"/>
              <w:bottom w:val="single" w:sz="4" w:space="0" w:color="auto"/>
              <w:right w:val="single" w:sz="4" w:space="0" w:color="auto"/>
            </w:tcBorders>
            <w:shd w:val="clear" w:color="000000" w:fill="C5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30.831.116,88</w:t>
            </w:r>
          </w:p>
        </w:tc>
        <w:tc>
          <w:tcPr>
            <w:tcW w:w="1191" w:type="dxa"/>
            <w:tcBorders>
              <w:top w:val="nil"/>
              <w:left w:val="nil"/>
              <w:bottom w:val="single" w:sz="4" w:space="0" w:color="auto"/>
              <w:right w:val="single" w:sz="4" w:space="0" w:color="auto"/>
            </w:tcBorders>
            <w:shd w:val="clear" w:color="000000" w:fill="C5D9F1"/>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61,66%</w:t>
            </w:r>
          </w:p>
        </w:tc>
      </w:tr>
      <w:tr w:rsidR="005934B2" w:rsidRPr="00373796" w:rsidTr="000366C5">
        <w:trPr>
          <w:trHeight w:val="51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SPARKASSE BANK d.d. Bosna i Hercegovina</w:t>
            </w: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Opšti portfelj</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12.10.2023.</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10.000.000,00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3.123.000,00</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31,23%</w:t>
            </w:r>
          </w:p>
        </w:tc>
      </w:tr>
      <w:tr w:rsidR="005934B2" w:rsidRPr="00373796" w:rsidTr="000366C5">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UKUPNO</w:t>
            </w:r>
          </w:p>
        </w:tc>
        <w:tc>
          <w:tcPr>
            <w:tcW w:w="1134"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5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10.000.000,00</w:t>
            </w:r>
          </w:p>
        </w:tc>
        <w:tc>
          <w:tcPr>
            <w:tcW w:w="1271" w:type="dxa"/>
            <w:tcBorders>
              <w:top w:val="nil"/>
              <w:left w:val="nil"/>
              <w:bottom w:val="single" w:sz="4" w:space="0" w:color="auto"/>
              <w:right w:val="single" w:sz="4" w:space="0" w:color="auto"/>
            </w:tcBorders>
            <w:shd w:val="clear" w:color="000000" w:fill="C5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3.123.000,00</w:t>
            </w:r>
          </w:p>
        </w:tc>
        <w:tc>
          <w:tcPr>
            <w:tcW w:w="1191" w:type="dxa"/>
            <w:tcBorders>
              <w:top w:val="nil"/>
              <w:left w:val="nil"/>
              <w:bottom w:val="single" w:sz="4" w:space="0" w:color="auto"/>
              <w:right w:val="single" w:sz="4" w:space="0" w:color="auto"/>
            </w:tcBorders>
            <w:shd w:val="clear" w:color="000000" w:fill="C5D9F1"/>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31,23%</w:t>
            </w:r>
          </w:p>
        </w:tc>
      </w:tr>
      <w:tr w:rsidR="005934B2" w:rsidRPr="00373796" w:rsidTr="000366C5">
        <w:trPr>
          <w:trHeight w:val="48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MKD TAURUS d.o.o. Banja Luka</w:t>
            </w: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Opšti portfelj</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21.02.2024.</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500.000,00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65.000,00</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13,00%</w:t>
            </w:r>
          </w:p>
        </w:tc>
      </w:tr>
      <w:tr w:rsidR="005934B2" w:rsidRPr="00373796" w:rsidTr="000366C5">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UKUPNO</w:t>
            </w:r>
          </w:p>
        </w:tc>
        <w:tc>
          <w:tcPr>
            <w:tcW w:w="1134"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500.000,00</w:t>
            </w:r>
          </w:p>
        </w:tc>
        <w:tc>
          <w:tcPr>
            <w:tcW w:w="1271"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65.000,00</w:t>
            </w:r>
          </w:p>
        </w:tc>
        <w:tc>
          <w:tcPr>
            <w:tcW w:w="1191" w:type="dxa"/>
            <w:tcBorders>
              <w:top w:val="nil"/>
              <w:left w:val="nil"/>
              <w:bottom w:val="single" w:sz="4" w:space="0" w:color="auto"/>
              <w:right w:val="single" w:sz="4" w:space="0" w:color="auto"/>
            </w:tcBorders>
            <w:shd w:val="clear" w:color="000000" w:fill="C5D9F1"/>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13,00%</w:t>
            </w:r>
          </w:p>
        </w:tc>
      </w:tr>
      <w:tr w:rsidR="005934B2" w:rsidRPr="00373796" w:rsidTr="000366C5">
        <w:trPr>
          <w:trHeight w:val="72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Procredit banka i Fondacija za razvoj grada Prijedora</w:t>
            </w: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Opšti portfelj</w:t>
            </w:r>
          </w:p>
        </w:tc>
        <w:tc>
          <w:tcPr>
            <w:tcW w:w="1134"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07.06.2024.</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5.000.000,00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45.000,00</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0,90%</w:t>
            </w:r>
          </w:p>
        </w:tc>
      </w:tr>
      <w:tr w:rsidR="005934B2" w:rsidRPr="00373796" w:rsidTr="000366C5">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UKUPNO</w:t>
            </w:r>
          </w:p>
        </w:tc>
        <w:tc>
          <w:tcPr>
            <w:tcW w:w="1134"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5.000.000,00</w:t>
            </w:r>
          </w:p>
        </w:tc>
        <w:tc>
          <w:tcPr>
            <w:tcW w:w="1271"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45.000,00</w:t>
            </w:r>
          </w:p>
        </w:tc>
        <w:tc>
          <w:tcPr>
            <w:tcW w:w="1191" w:type="dxa"/>
            <w:tcBorders>
              <w:top w:val="nil"/>
              <w:left w:val="nil"/>
              <w:bottom w:val="single" w:sz="4" w:space="0" w:color="auto"/>
              <w:right w:val="single" w:sz="4" w:space="0" w:color="auto"/>
            </w:tcBorders>
            <w:shd w:val="clear" w:color="000000" w:fill="C5D9F1"/>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0,90%</w:t>
            </w:r>
          </w:p>
        </w:tc>
      </w:tr>
      <w:tr w:rsidR="005934B2" w:rsidRPr="00373796" w:rsidTr="000366C5">
        <w:trPr>
          <w:trHeight w:val="480"/>
        </w:trPr>
        <w:tc>
          <w:tcPr>
            <w:tcW w:w="1719" w:type="dxa"/>
            <w:tcBorders>
              <w:top w:val="nil"/>
              <w:left w:val="single" w:sz="4" w:space="0" w:color="auto"/>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Nova banka a.d. Banja Luka</w:t>
            </w: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Opšti portfelj</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10.06.2024.</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20.000.000,00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0,00</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0,00%</w:t>
            </w:r>
          </w:p>
        </w:tc>
      </w:tr>
      <w:tr w:rsidR="005934B2" w:rsidRPr="00373796" w:rsidTr="000366C5">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UKUPNO</w:t>
            </w:r>
          </w:p>
        </w:tc>
        <w:tc>
          <w:tcPr>
            <w:tcW w:w="1134"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20.000.000,00</w:t>
            </w:r>
          </w:p>
        </w:tc>
        <w:tc>
          <w:tcPr>
            <w:tcW w:w="1271"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0,00</w:t>
            </w:r>
          </w:p>
        </w:tc>
        <w:tc>
          <w:tcPr>
            <w:tcW w:w="1191" w:type="dxa"/>
            <w:tcBorders>
              <w:top w:val="nil"/>
              <w:left w:val="nil"/>
              <w:bottom w:val="single" w:sz="4" w:space="0" w:color="auto"/>
              <w:right w:val="single" w:sz="4" w:space="0" w:color="auto"/>
            </w:tcBorders>
            <w:shd w:val="clear" w:color="000000" w:fill="C5D9F1"/>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0,00%</w:t>
            </w:r>
          </w:p>
        </w:tc>
      </w:tr>
      <w:tr w:rsidR="005934B2" w:rsidRPr="00373796" w:rsidTr="000366C5">
        <w:trPr>
          <w:trHeight w:val="555"/>
        </w:trPr>
        <w:tc>
          <w:tcPr>
            <w:tcW w:w="1719" w:type="dxa"/>
            <w:tcBorders>
              <w:top w:val="nil"/>
              <w:left w:val="single" w:sz="4" w:space="0" w:color="auto"/>
              <w:bottom w:val="nil"/>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MF banka a.d. Banja Luka</w:t>
            </w:r>
          </w:p>
        </w:tc>
        <w:tc>
          <w:tcPr>
            <w:tcW w:w="1840"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left"/>
              <w:rPr>
                <w:rFonts w:ascii="Calibri" w:hAnsi="Calibri"/>
                <w:sz w:val="18"/>
                <w:szCs w:val="18"/>
              </w:rPr>
            </w:pPr>
            <w:r w:rsidRPr="00373796">
              <w:rPr>
                <w:rFonts w:ascii="Calibri" w:hAnsi="Calibri"/>
                <w:sz w:val="18"/>
                <w:szCs w:val="18"/>
              </w:rPr>
              <w:t>Opšti portfelj</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center"/>
              <w:rPr>
                <w:rFonts w:ascii="Calibri" w:hAnsi="Calibri"/>
                <w:sz w:val="18"/>
                <w:szCs w:val="18"/>
              </w:rPr>
            </w:pPr>
            <w:r w:rsidRPr="00373796">
              <w:rPr>
                <w:rFonts w:ascii="Calibri" w:hAnsi="Calibri"/>
                <w:sz w:val="18"/>
                <w:szCs w:val="18"/>
              </w:rPr>
              <w:t>23.12.2021.</w:t>
            </w:r>
          </w:p>
        </w:tc>
        <w:tc>
          <w:tcPr>
            <w:tcW w:w="1649" w:type="dxa"/>
            <w:tcBorders>
              <w:top w:val="nil"/>
              <w:left w:val="nil"/>
              <w:bottom w:val="single" w:sz="4" w:space="0" w:color="auto"/>
              <w:right w:val="single" w:sz="4" w:space="0" w:color="auto"/>
            </w:tcBorders>
            <w:shd w:val="clear" w:color="auto" w:fill="auto"/>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10.000.000,00</w:t>
            </w:r>
          </w:p>
        </w:tc>
        <w:tc>
          <w:tcPr>
            <w:tcW w:w="127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3.850.000,00</w:t>
            </w:r>
          </w:p>
        </w:tc>
        <w:tc>
          <w:tcPr>
            <w:tcW w:w="1191" w:type="dxa"/>
            <w:tcBorders>
              <w:top w:val="nil"/>
              <w:left w:val="nil"/>
              <w:bottom w:val="single" w:sz="4" w:space="0" w:color="auto"/>
              <w:right w:val="single" w:sz="4" w:space="0" w:color="auto"/>
            </w:tcBorders>
            <w:shd w:val="clear" w:color="auto" w:fill="auto"/>
            <w:noWrap/>
            <w:vAlign w:val="center"/>
            <w:hideMark/>
          </w:tcPr>
          <w:p w:rsidR="005934B2" w:rsidRPr="00373796" w:rsidRDefault="005934B2" w:rsidP="000366C5">
            <w:pPr>
              <w:jc w:val="right"/>
              <w:rPr>
                <w:rFonts w:ascii="Calibri" w:hAnsi="Calibri"/>
                <w:sz w:val="18"/>
                <w:szCs w:val="18"/>
              </w:rPr>
            </w:pPr>
            <w:r w:rsidRPr="00373796">
              <w:rPr>
                <w:rFonts w:ascii="Calibri" w:hAnsi="Calibri"/>
                <w:sz w:val="18"/>
                <w:szCs w:val="18"/>
              </w:rPr>
              <w:t>38,50%</w:t>
            </w:r>
          </w:p>
        </w:tc>
      </w:tr>
      <w:tr w:rsidR="005934B2" w:rsidRPr="00373796" w:rsidTr="000366C5">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UKUPNO</w:t>
            </w:r>
          </w:p>
        </w:tc>
        <w:tc>
          <w:tcPr>
            <w:tcW w:w="1134"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center"/>
              <w:rPr>
                <w:rFonts w:ascii="Calibri" w:hAnsi="Calibri"/>
                <w:b/>
                <w:bCs/>
                <w:sz w:val="18"/>
                <w:szCs w:val="18"/>
              </w:rPr>
            </w:pPr>
            <w:r w:rsidRPr="00373796">
              <w:rPr>
                <w:rFonts w:ascii="Calibri" w:hAnsi="Calibri"/>
                <w:b/>
                <w:bCs/>
                <w:sz w:val="18"/>
                <w:szCs w:val="18"/>
              </w:rPr>
              <w:t> </w:t>
            </w:r>
          </w:p>
        </w:tc>
        <w:tc>
          <w:tcPr>
            <w:tcW w:w="1649"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10.000.000,00</w:t>
            </w:r>
          </w:p>
        </w:tc>
        <w:tc>
          <w:tcPr>
            <w:tcW w:w="1271" w:type="dxa"/>
            <w:tcBorders>
              <w:top w:val="nil"/>
              <w:left w:val="nil"/>
              <w:bottom w:val="single" w:sz="4" w:space="0" w:color="auto"/>
              <w:right w:val="single" w:sz="4" w:space="0" w:color="auto"/>
            </w:tcBorders>
            <w:shd w:val="clear" w:color="000000" w:fill="C6D9F1"/>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3.850.000,00</w:t>
            </w:r>
          </w:p>
        </w:tc>
        <w:tc>
          <w:tcPr>
            <w:tcW w:w="1191" w:type="dxa"/>
            <w:tcBorders>
              <w:top w:val="nil"/>
              <w:left w:val="nil"/>
              <w:bottom w:val="single" w:sz="4" w:space="0" w:color="auto"/>
              <w:right w:val="single" w:sz="4" w:space="0" w:color="auto"/>
            </w:tcBorders>
            <w:shd w:val="clear" w:color="000000" w:fill="C5D9F1"/>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38,50%</w:t>
            </w:r>
          </w:p>
        </w:tc>
      </w:tr>
      <w:tr w:rsidR="005934B2" w:rsidRPr="00373796" w:rsidTr="000366C5">
        <w:trPr>
          <w:trHeight w:val="315"/>
        </w:trPr>
        <w:tc>
          <w:tcPr>
            <w:tcW w:w="3559" w:type="dxa"/>
            <w:gridSpan w:val="2"/>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373796" w:rsidRDefault="005934B2" w:rsidP="000366C5">
            <w:pPr>
              <w:jc w:val="center"/>
              <w:rPr>
                <w:rFonts w:ascii="Calibri" w:hAnsi="Calibri"/>
                <w:b/>
                <w:bCs/>
                <w:color w:val="auto"/>
                <w:sz w:val="18"/>
                <w:szCs w:val="18"/>
              </w:rPr>
            </w:pPr>
            <w:r w:rsidRPr="00373796">
              <w:rPr>
                <w:rFonts w:ascii="Calibri" w:hAnsi="Calibri"/>
                <w:b/>
                <w:bCs/>
                <w:color w:val="auto"/>
                <w:sz w:val="18"/>
                <w:szCs w:val="18"/>
              </w:rPr>
              <w:t>UKUPNO</w:t>
            </w:r>
          </w:p>
        </w:tc>
        <w:tc>
          <w:tcPr>
            <w:tcW w:w="1134" w:type="dxa"/>
            <w:tcBorders>
              <w:top w:val="nil"/>
              <w:left w:val="nil"/>
              <w:bottom w:val="single" w:sz="4" w:space="0" w:color="auto"/>
              <w:right w:val="single" w:sz="4" w:space="0" w:color="auto"/>
            </w:tcBorders>
            <w:shd w:val="clear" w:color="000000" w:fill="8DB4E2"/>
            <w:vAlign w:val="center"/>
            <w:hideMark/>
          </w:tcPr>
          <w:p w:rsidR="005934B2" w:rsidRPr="00373796" w:rsidRDefault="005934B2" w:rsidP="000366C5">
            <w:pPr>
              <w:jc w:val="center"/>
              <w:rPr>
                <w:rFonts w:ascii="Calibri" w:hAnsi="Calibri"/>
                <w:b/>
                <w:bCs/>
                <w:color w:val="auto"/>
                <w:sz w:val="18"/>
                <w:szCs w:val="18"/>
              </w:rPr>
            </w:pPr>
            <w:r w:rsidRPr="00373796">
              <w:rPr>
                <w:rFonts w:ascii="Calibri" w:hAnsi="Calibri"/>
                <w:b/>
                <w:bCs/>
                <w:color w:val="auto"/>
                <w:sz w:val="18"/>
                <w:szCs w:val="18"/>
              </w:rPr>
              <w:t> </w:t>
            </w:r>
          </w:p>
        </w:tc>
        <w:tc>
          <w:tcPr>
            <w:tcW w:w="1649" w:type="dxa"/>
            <w:tcBorders>
              <w:top w:val="nil"/>
              <w:left w:val="nil"/>
              <w:bottom w:val="single" w:sz="4" w:space="0" w:color="auto"/>
              <w:right w:val="single" w:sz="4" w:space="0" w:color="auto"/>
            </w:tcBorders>
            <w:shd w:val="clear" w:color="000000" w:fill="8DB4E2"/>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155.500.000,00</w:t>
            </w:r>
          </w:p>
        </w:tc>
        <w:tc>
          <w:tcPr>
            <w:tcW w:w="1271" w:type="dxa"/>
            <w:tcBorders>
              <w:top w:val="nil"/>
              <w:left w:val="nil"/>
              <w:bottom w:val="single" w:sz="4" w:space="0" w:color="auto"/>
              <w:right w:val="single" w:sz="4" w:space="0" w:color="auto"/>
            </w:tcBorders>
            <w:shd w:val="clear" w:color="000000" w:fill="8DB4E2"/>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87.685.116,89</w:t>
            </w:r>
          </w:p>
        </w:tc>
        <w:tc>
          <w:tcPr>
            <w:tcW w:w="1191" w:type="dxa"/>
            <w:tcBorders>
              <w:top w:val="nil"/>
              <w:left w:val="nil"/>
              <w:bottom w:val="single" w:sz="4" w:space="0" w:color="auto"/>
              <w:right w:val="single" w:sz="4" w:space="0" w:color="auto"/>
            </w:tcBorders>
            <w:shd w:val="clear" w:color="000000" w:fill="8DB4E2"/>
            <w:noWrap/>
            <w:vAlign w:val="center"/>
            <w:hideMark/>
          </w:tcPr>
          <w:p w:rsidR="005934B2" w:rsidRPr="00373796" w:rsidRDefault="005934B2" w:rsidP="000366C5">
            <w:pPr>
              <w:jc w:val="right"/>
              <w:rPr>
                <w:rFonts w:ascii="Calibri" w:hAnsi="Calibri"/>
                <w:b/>
                <w:bCs/>
                <w:sz w:val="18"/>
                <w:szCs w:val="18"/>
              </w:rPr>
            </w:pPr>
            <w:r w:rsidRPr="00373796">
              <w:rPr>
                <w:rFonts w:ascii="Calibri" w:hAnsi="Calibri"/>
                <w:b/>
                <w:bCs/>
                <w:sz w:val="18"/>
                <w:szCs w:val="18"/>
              </w:rPr>
              <w:t>56,39%</w:t>
            </w:r>
          </w:p>
        </w:tc>
      </w:tr>
    </w:tbl>
    <w:p w:rsidR="005934B2" w:rsidRPr="005767EF"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AE0DAF" w:rsidRDefault="005934B2" w:rsidP="00A401F8">
      <w:pPr>
        <w:autoSpaceDE w:val="0"/>
        <w:autoSpaceDN w:val="0"/>
        <w:adjustRightInd w:val="0"/>
        <w:rPr>
          <w:rFonts w:asciiTheme="minorHAnsi" w:hAnsiTheme="minorHAnsi"/>
          <w:sz w:val="20"/>
          <w:szCs w:val="20"/>
          <w:lang w:val="sr-Cyrl-RS" w:eastAsia="sr-Latn-RS"/>
        </w:rPr>
      </w:pPr>
      <w:r w:rsidRPr="00AE0DAF">
        <w:rPr>
          <w:rFonts w:asciiTheme="minorHAnsi" w:hAnsiTheme="minorHAnsi"/>
          <w:sz w:val="20"/>
          <w:szCs w:val="20"/>
          <w:lang w:val="sr-Cyrl-BA" w:eastAsia="sr-Latn-RS"/>
        </w:rPr>
        <w:t xml:space="preserve">Do dana 31.12.2024. godine, u okviru kreditnog portfelja ugovorenog sa 7 finansijskih posrednika je plasirano 87.685.116,89 KM kreditnih sredstava, odnosno 56,39% ugovorenog iznosa od 155.500.000,00 KM. Ako posmatramo portfelj za obnovljive izvore energije, Procredit bank d.d. Sarajevo je realizovala plasmane u iznosu od </w:t>
      </w:r>
      <w:r w:rsidRPr="00373796">
        <w:rPr>
          <w:rFonts w:ascii="Calibri" w:hAnsi="Calibri"/>
          <w:sz w:val="20"/>
          <w:szCs w:val="20"/>
        </w:rPr>
        <w:t>9.848.000,00</w:t>
      </w:r>
      <w:r w:rsidRPr="00AE0DAF">
        <w:rPr>
          <w:rFonts w:ascii="Calibri" w:hAnsi="Calibri"/>
          <w:sz w:val="20"/>
          <w:szCs w:val="20"/>
          <w:lang w:val="sr-Cyrl-RS"/>
        </w:rPr>
        <w:t xml:space="preserve"> </w:t>
      </w:r>
      <w:r w:rsidRPr="00AE0DAF">
        <w:rPr>
          <w:rFonts w:asciiTheme="minorHAnsi" w:hAnsiTheme="minorHAnsi"/>
          <w:sz w:val="20"/>
          <w:szCs w:val="20"/>
          <w:lang w:val="sr-Cyrl-BA" w:eastAsia="sr-Latn-RS"/>
        </w:rPr>
        <w:t xml:space="preserve">KM, odnosno 49,24% ugovorenog iznosa portfelja, dok je stopa realizacije </w:t>
      </w:r>
      <w:r w:rsidRPr="00373796">
        <w:rPr>
          <w:rFonts w:ascii="Calibri" w:hAnsi="Calibri"/>
          <w:sz w:val="20"/>
          <w:szCs w:val="20"/>
        </w:rPr>
        <w:t>Unicredit bank a.d. Banja Luka</w:t>
      </w:r>
      <w:r w:rsidRPr="00AE0DAF">
        <w:rPr>
          <w:rFonts w:ascii="Calibri" w:hAnsi="Calibri"/>
          <w:sz w:val="20"/>
          <w:szCs w:val="20"/>
          <w:lang w:val="sr-Cyrl-RS"/>
        </w:rPr>
        <w:t xml:space="preserve"> na nivou od </w:t>
      </w:r>
      <w:r>
        <w:rPr>
          <w:rFonts w:ascii="Calibri" w:hAnsi="Calibri"/>
          <w:sz w:val="20"/>
          <w:szCs w:val="20"/>
          <w:lang w:val="sr-Cyrl-RS"/>
        </w:rPr>
        <w:t>17,93</w:t>
      </w:r>
      <w:r w:rsidRPr="00AE0DAF">
        <w:rPr>
          <w:rFonts w:ascii="Calibri" w:hAnsi="Calibri"/>
          <w:sz w:val="20"/>
          <w:szCs w:val="20"/>
          <w:lang w:val="sr-Cyrl-RS"/>
        </w:rPr>
        <w:t>%, odnosno 1.792.550,00 KM.</w:t>
      </w:r>
    </w:p>
    <w:p w:rsidR="005934B2" w:rsidRDefault="005934B2" w:rsidP="00A401F8">
      <w:pPr>
        <w:autoSpaceDE w:val="0"/>
        <w:autoSpaceDN w:val="0"/>
        <w:adjustRightInd w:val="0"/>
        <w:rPr>
          <w:rFonts w:asciiTheme="minorHAnsi" w:hAnsiTheme="minorHAnsi"/>
          <w:sz w:val="20"/>
          <w:szCs w:val="20"/>
          <w:lang w:val="sr-Cyrl-BA" w:eastAsia="sr-Latn-RS"/>
        </w:rPr>
      </w:pPr>
    </w:p>
    <w:p w:rsidR="005934B2" w:rsidRDefault="005934B2" w:rsidP="00A401F8">
      <w:pPr>
        <w:autoSpaceDE w:val="0"/>
        <w:autoSpaceDN w:val="0"/>
        <w:adjustRightInd w:val="0"/>
        <w:rPr>
          <w:rFonts w:asciiTheme="minorHAnsi" w:hAnsiTheme="minorHAnsi"/>
          <w:sz w:val="20"/>
          <w:szCs w:val="20"/>
          <w:lang w:val="sr-Cyrl-BA" w:eastAsia="sr-Latn-RS"/>
        </w:rPr>
      </w:pPr>
      <w:r>
        <w:rPr>
          <w:rFonts w:asciiTheme="minorHAnsi" w:hAnsiTheme="minorHAnsi"/>
          <w:sz w:val="20"/>
          <w:szCs w:val="20"/>
          <w:lang w:val="sr-Cyrl-BA" w:eastAsia="sr-Latn-RS"/>
        </w:rPr>
        <w:t xml:space="preserve">Ako posmatramo kreditnu aktivnost u okviru opšteg portfelja, dominantnu ulogu ima </w:t>
      </w:r>
      <w:r w:rsidRPr="008A3C49">
        <w:rPr>
          <w:rFonts w:asciiTheme="minorHAnsi" w:hAnsiTheme="minorHAnsi"/>
          <w:sz w:val="20"/>
          <w:szCs w:val="20"/>
          <w:lang w:val="sr-Cyrl-BA" w:eastAsia="sr-Latn-RS"/>
        </w:rPr>
        <w:t xml:space="preserve">Procredit </w:t>
      </w:r>
      <w:r>
        <w:rPr>
          <w:rFonts w:asciiTheme="minorHAnsi" w:hAnsiTheme="minorHAnsi"/>
          <w:sz w:val="20"/>
          <w:szCs w:val="20"/>
          <w:lang w:val="sr-Cyrl-BA" w:eastAsia="sr-Latn-RS"/>
        </w:rPr>
        <w:t xml:space="preserve">banka, koja je do kraja 2024. godine realizovala gotovo cjelokupan ugovoreni iznos i plasirala kreditna sredstva u iznosu od </w:t>
      </w:r>
      <w:r w:rsidRPr="00373796">
        <w:rPr>
          <w:rFonts w:asciiTheme="minorHAnsi" w:hAnsiTheme="minorHAnsi"/>
          <w:sz w:val="20"/>
          <w:szCs w:val="20"/>
          <w:lang w:val="sr-Cyrl-BA" w:eastAsia="sr-Latn-RS"/>
        </w:rPr>
        <w:t>39.923.000,01</w:t>
      </w:r>
      <w:r>
        <w:rPr>
          <w:rFonts w:asciiTheme="minorHAnsi" w:hAnsiTheme="minorHAnsi"/>
          <w:sz w:val="20"/>
          <w:szCs w:val="20"/>
          <w:lang w:val="sr-Cyrl-BA" w:eastAsia="sr-Latn-RS"/>
        </w:rPr>
        <w:t>, što čini 99,81% ugovorenog iznosa.</w:t>
      </w:r>
    </w:p>
    <w:p w:rsidR="005934B2" w:rsidRDefault="005934B2" w:rsidP="00A401F8">
      <w:pPr>
        <w:autoSpaceDE w:val="0"/>
        <w:autoSpaceDN w:val="0"/>
        <w:adjustRightInd w:val="0"/>
        <w:rPr>
          <w:rFonts w:asciiTheme="minorHAnsi" w:hAnsiTheme="minorHAnsi"/>
          <w:sz w:val="20"/>
          <w:szCs w:val="20"/>
          <w:lang w:val="sr-Cyrl-BA" w:eastAsia="sr-Latn-RS"/>
        </w:rPr>
      </w:pPr>
    </w:p>
    <w:p w:rsidR="005934B2" w:rsidRDefault="005934B2" w:rsidP="00A401F8">
      <w:pPr>
        <w:autoSpaceDE w:val="0"/>
        <w:autoSpaceDN w:val="0"/>
        <w:adjustRightInd w:val="0"/>
        <w:rPr>
          <w:rFonts w:asciiTheme="minorHAnsi" w:hAnsiTheme="minorHAnsi"/>
          <w:sz w:val="20"/>
          <w:szCs w:val="20"/>
          <w:lang w:val="sr-Cyrl-BA" w:eastAsia="sr-Latn-RS"/>
        </w:rPr>
      </w:pPr>
      <w:r w:rsidRPr="00E037F4">
        <w:rPr>
          <w:rFonts w:asciiTheme="minorHAnsi" w:hAnsiTheme="minorHAnsi"/>
          <w:sz w:val="20"/>
          <w:szCs w:val="20"/>
          <w:lang w:val="sr-Cyrl-BA" w:eastAsia="sr-Latn-RS"/>
        </w:rPr>
        <w:t xml:space="preserve">Unicredit </w:t>
      </w:r>
      <w:r>
        <w:rPr>
          <w:rFonts w:asciiTheme="minorHAnsi" w:hAnsiTheme="minorHAnsi"/>
          <w:sz w:val="20"/>
          <w:szCs w:val="20"/>
          <w:lang w:val="sr-Cyrl-BA" w:eastAsia="sr-Latn-RS"/>
        </w:rPr>
        <w:t xml:space="preserve">banka je u septembru 2024. godine podnijela zahtjeva za povećanje iznosa opšteg kreditnog portfelja sa 30 na 40 miliona KM. Do kraja 2024. godine, ova banka je plasirala </w:t>
      </w:r>
      <w:r w:rsidRPr="00014B23">
        <w:rPr>
          <w:rFonts w:asciiTheme="minorHAnsi" w:hAnsiTheme="minorHAnsi"/>
          <w:sz w:val="20"/>
          <w:szCs w:val="20"/>
          <w:lang w:val="sr-Cyrl-BA" w:eastAsia="sr-Latn-RS"/>
        </w:rPr>
        <w:t>29.038.566,88</w:t>
      </w:r>
      <w:r>
        <w:rPr>
          <w:rFonts w:asciiTheme="minorHAnsi" w:hAnsiTheme="minorHAnsi"/>
          <w:sz w:val="20"/>
          <w:szCs w:val="20"/>
          <w:lang w:val="sr-Cyrl-BA" w:eastAsia="sr-Latn-RS"/>
        </w:rPr>
        <w:t xml:space="preserve"> KM kreditnih sredstava, te je stopa realizacije na nivou od 72,60%. Na trećem mjestu po realizaciji ugovorenog opšteg portfelja se nalazi MF banka koja je do kraja 2024. godine plasirala sredstva u iznosu od  3.850.000,00 KM.Stopa realizacije je 38,5%. </w:t>
      </w:r>
    </w:p>
    <w:p w:rsidR="005934B2" w:rsidRPr="005767EF" w:rsidRDefault="005934B2" w:rsidP="00A401F8">
      <w:pPr>
        <w:autoSpaceDE w:val="0"/>
        <w:autoSpaceDN w:val="0"/>
        <w:adjustRightInd w:val="0"/>
        <w:rPr>
          <w:rFonts w:asciiTheme="minorHAnsi" w:hAnsiTheme="minorHAnsi"/>
          <w:sz w:val="20"/>
          <w:szCs w:val="20"/>
          <w:lang w:val="sr-Cyrl-BA" w:eastAsia="sr-Latn-RS"/>
        </w:rPr>
      </w:pPr>
    </w:p>
    <w:p w:rsidR="005934B2" w:rsidRDefault="005934B2" w:rsidP="00A401F8">
      <w:pPr>
        <w:autoSpaceDE w:val="0"/>
        <w:autoSpaceDN w:val="0"/>
        <w:adjustRightInd w:val="0"/>
        <w:rPr>
          <w:rFonts w:asciiTheme="minorHAnsi" w:hAnsiTheme="minorHAnsi"/>
          <w:bCs/>
          <w:sz w:val="20"/>
          <w:szCs w:val="20"/>
          <w:lang w:val="sr-Cyrl-BA" w:eastAsia="sr-Latn-RS"/>
        </w:rPr>
      </w:pPr>
      <w:r w:rsidRPr="00E037F4">
        <w:rPr>
          <w:rFonts w:asciiTheme="minorHAnsi" w:hAnsiTheme="minorHAnsi"/>
          <w:bCs/>
          <w:sz w:val="20"/>
          <w:szCs w:val="20"/>
          <w:lang w:val="sr-Cyrl-BA" w:eastAsia="sr-Latn-RS"/>
        </w:rPr>
        <w:t xml:space="preserve">Sparkasse bank d.d. BIH je </w:t>
      </w:r>
      <w:r>
        <w:rPr>
          <w:rFonts w:asciiTheme="minorHAnsi" w:hAnsiTheme="minorHAnsi"/>
          <w:bCs/>
          <w:sz w:val="20"/>
          <w:szCs w:val="20"/>
          <w:lang w:val="sr-Cyrl-BA" w:eastAsia="sr-Latn-RS"/>
        </w:rPr>
        <w:t>od potpisivanja ugovora</w:t>
      </w:r>
      <w:r w:rsidRPr="00E037F4">
        <w:rPr>
          <w:rFonts w:asciiTheme="minorHAnsi" w:hAnsiTheme="minorHAnsi"/>
          <w:bCs/>
          <w:sz w:val="20"/>
          <w:szCs w:val="20"/>
          <w:lang w:val="sr-Cyrl-BA" w:eastAsia="sr-Latn-RS"/>
        </w:rPr>
        <w:t xml:space="preserve"> krajem 2023. godine </w:t>
      </w:r>
      <w:r>
        <w:rPr>
          <w:rFonts w:asciiTheme="minorHAnsi" w:hAnsiTheme="minorHAnsi"/>
          <w:bCs/>
          <w:sz w:val="20"/>
          <w:szCs w:val="20"/>
          <w:lang w:val="sr-Cyrl-BA" w:eastAsia="sr-Latn-RS"/>
        </w:rPr>
        <w:t xml:space="preserve">do kraja 2024. godine plasirala </w:t>
      </w:r>
      <w:r w:rsidRPr="00014B23">
        <w:rPr>
          <w:rFonts w:asciiTheme="minorHAnsi" w:hAnsiTheme="minorHAnsi"/>
          <w:bCs/>
          <w:sz w:val="20"/>
          <w:szCs w:val="20"/>
          <w:lang w:val="sr-Cyrl-BA" w:eastAsia="sr-Latn-RS"/>
        </w:rPr>
        <w:t>3.123.000,00</w:t>
      </w:r>
      <w:r>
        <w:rPr>
          <w:rFonts w:asciiTheme="minorHAnsi" w:hAnsiTheme="minorHAnsi"/>
          <w:bCs/>
          <w:sz w:val="20"/>
          <w:szCs w:val="20"/>
          <w:lang w:val="sr-Cyrl-BA" w:eastAsia="sr-Latn-RS"/>
        </w:rPr>
        <w:t xml:space="preserve"> KM i ima stopu realizacije od 31,23%. MKD Taurus je plasirao sredstav u iznosu od 65.000,00 KM i tako realizovao 13% ugovorenog kreditnog portfelja. Najmanju stopu realizacije je imao triparitetni kreditni portfelj sa Prokredit bankom i Fondacijom za razvoj grada Prijedora. Plasiran je jedan kredit u iznosu od 45.000,00 KM, što čini svega 0,90% ugovorenog iznosa. Ugovor je potpisan sredinom 2024. godine, te je realno očekivanje da će doći do rasta stope realizacije u narednom periodu.</w:t>
      </w:r>
    </w:p>
    <w:p w:rsidR="005934B2" w:rsidRDefault="005934B2" w:rsidP="00A401F8">
      <w:pPr>
        <w:autoSpaceDE w:val="0"/>
        <w:autoSpaceDN w:val="0"/>
        <w:adjustRightInd w:val="0"/>
        <w:rPr>
          <w:rFonts w:asciiTheme="minorHAnsi" w:hAnsiTheme="minorHAnsi"/>
          <w:bCs/>
          <w:sz w:val="20"/>
          <w:szCs w:val="20"/>
          <w:lang w:val="sr-Cyrl-BA" w:eastAsia="sr-Latn-RS"/>
        </w:rPr>
      </w:pPr>
      <w:r>
        <w:rPr>
          <w:rFonts w:asciiTheme="minorHAnsi" w:hAnsiTheme="minorHAnsi"/>
          <w:bCs/>
          <w:sz w:val="20"/>
          <w:szCs w:val="20"/>
          <w:lang w:val="sr-Cyrl-BA" w:eastAsia="sr-Latn-RS"/>
        </w:rPr>
        <w:t>Nova banka je u junu 2024. godine potpisala ugovor o garantovanju kreditnog portfelja, ali do kraja godine</w:t>
      </w:r>
      <w:r w:rsidRPr="00E037F4">
        <w:rPr>
          <w:rFonts w:asciiTheme="minorHAnsi" w:hAnsiTheme="minorHAnsi"/>
          <w:bCs/>
          <w:sz w:val="20"/>
          <w:szCs w:val="20"/>
          <w:lang w:val="sr-Cyrl-BA" w:eastAsia="sr-Latn-RS"/>
        </w:rPr>
        <w:t xml:space="preserve"> nije imala kreditnu aktivnost </w:t>
      </w:r>
      <w:r>
        <w:rPr>
          <w:rFonts w:asciiTheme="minorHAnsi" w:hAnsiTheme="minorHAnsi"/>
          <w:bCs/>
          <w:sz w:val="20"/>
          <w:szCs w:val="20"/>
          <w:lang w:val="sr-Cyrl-BA" w:eastAsia="sr-Latn-RS"/>
        </w:rPr>
        <w:t>po ovom osnovu.</w:t>
      </w:r>
    </w:p>
    <w:p w:rsidR="005934B2" w:rsidRPr="00E037F4" w:rsidRDefault="005934B2" w:rsidP="00A401F8">
      <w:pPr>
        <w:autoSpaceDE w:val="0"/>
        <w:autoSpaceDN w:val="0"/>
        <w:adjustRightInd w:val="0"/>
        <w:rPr>
          <w:rFonts w:asciiTheme="minorHAnsi" w:hAnsiTheme="minorHAnsi"/>
          <w:bCs/>
          <w:sz w:val="20"/>
          <w:szCs w:val="20"/>
          <w:lang w:val="sr-Cyrl-BA" w:eastAsia="sr-Latn-RS"/>
        </w:rPr>
      </w:pPr>
    </w:p>
    <w:p w:rsidR="005934B2" w:rsidRPr="00705FDC" w:rsidRDefault="005934B2" w:rsidP="00A401F8">
      <w:pPr>
        <w:spacing w:after="200" w:line="276" w:lineRule="auto"/>
        <w:jc w:val="center"/>
        <w:rPr>
          <w:rFonts w:asciiTheme="minorHAnsi" w:hAnsiTheme="minorHAnsi"/>
          <w:b/>
          <w:bCs/>
          <w:sz w:val="20"/>
          <w:szCs w:val="20"/>
          <w:lang w:val="sr-Cyrl-RS" w:eastAsia="sr-Latn-RS"/>
        </w:rPr>
      </w:pPr>
      <w:r w:rsidRPr="005767EF">
        <w:rPr>
          <w:rFonts w:asciiTheme="minorHAnsi" w:hAnsiTheme="minorHAnsi"/>
          <w:b/>
          <w:bCs/>
          <w:sz w:val="20"/>
          <w:szCs w:val="20"/>
          <w:lang w:val="sr-Latn-RS" w:eastAsia="sr-Latn-RS"/>
        </w:rPr>
        <w:t xml:space="preserve">Pregled </w:t>
      </w:r>
      <w:r w:rsidRPr="005767EF">
        <w:rPr>
          <w:rFonts w:asciiTheme="minorHAnsi" w:hAnsiTheme="minorHAnsi"/>
          <w:b/>
          <w:bCs/>
          <w:sz w:val="20"/>
          <w:szCs w:val="20"/>
          <w:lang w:val="sr-Cyrl-BA" w:eastAsia="sr-Latn-RS"/>
        </w:rPr>
        <w:t xml:space="preserve">stanja ugovorenog kreditnog portfelja i maksimalne izloženosti Garantnog fonda Republike Srpske prema finansijskim posrednicima </w:t>
      </w:r>
      <w:r w:rsidRPr="005767EF">
        <w:rPr>
          <w:rFonts w:asciiTheme="minorHAnsi" w:hAnsiTheme="minorHAnsi"/>
          <w:b/>
          <w:bCs/>
          <w:sz w:val="20"/>
          <w:szCs w:val="20"/>
          <w:lang w:val="sr-Latn-RS" w:eastAsia="sr-Latn-RS"/>
        </w:rPr>
        <w:t>na dan 31.12.202</w:t>
      </w:r>
      <w:r>
        <w:rPr>
          <w:rFonts w:asciiTheme="minorHAnsi" w:hAnsiTheme="minorHAnsi"/>
          <w:b/>
          <w:bCs/>
          <w:sz w:val="20"/>
          <w:szCs w:val="20"/>
          <w:lang w:val="sr-Cyrl-RS" w:eastAsia="sr-Latn-RS"/>
        </w:rPr>
        <w:t>4</w:t>
      </w:r>
      <w:r w:rsidRPr="005767EF">
        <w:rPr>
          <w:rFonts w:asciiTheme="minorHAnsi" w:hAnsiTheme="minorHAnsi"/>
          <w:b/>
          <w:bCs/>
          <w:sz w:val="20"/>
          <w:szCs w:val="20"/>
          <w:lang w:val="sr-Latn-RS" w:eastAsia="sr-Latn-RS"/>
        </w:rPr>
        <w:t>.</w:t>
      </w:r>
      <w:r>
        <w:rPr>
          <w:rFonts w:asciiTheme="minorHAnsi" w:hAnsiTheme="minorHAnsi"/>
          <w:b/>
          <w:bCs/>
          <w:sz w:val="20"/>
          <w:szCs w:val="20"/>
          <w:lang w:val="sr-Cyrl-RS" w:eastAsia="sr-Latn-RS"/>
        </w:rPr>
        <w:t xml:space="preserve"> godine</w:t>
      </w:r>
    </w:p>
    <w:p w:rsidR="005934B2" w:rsidRPr="005767EF" w:rsidRDefault="005934B2" w:rsidP="00A401F8">
      <w:pPr>
        <w:autoSpaceDE w:val="0"/>
        <w:autoSpaceDN w:val="0"/>
        <w:adjustRightInd w:val="0"/>
        <w:rPr>
          <w:rFonts w:asciiTheme="minorHAnsi" w:eastAsiaTheme="minorHAnsi" w:hAnsiTheme="minorHAnsi"/>
          <w:color w:val="FF0000"/>
          <w:sz w:val="20"/>
          <w:szCs w:val="20"/>
          <w:lang w:val="sr-Cyrl-BA" w:eastAsia="en-US"/>
        </w:rPr>
      </w:pP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sidRPr="005767EF">
        <w:rPr>
          <w:rFonts w:asciiTheme="minorHAnsi" w:hAnsiTheme="minorHAnsi"/>
          <w:b/>
          <w:bCs/>
          <w:sz w:val="20"/>
          <w:szCs w:val="20"/>
          <w:lang w:val="sr-Latn-RS" w:eastAsia="sr-Latn-RS"/>
        </w:rPr>
        <w:tab/>
      </w:r>
      <w:r>
        <w:rPr>
          <w:rFonts w:asciiTheme="minorHAnsi" w:hAnsiTheme="minorHAnsi"/>
          <w:b/>
          <w:bCs/>
          <w:sz w:val="20"/>
          <w:szCs w:val="20"/>
          <w:lang w:val="sr-Cyrl-BA" w:eastAsia="sr-Latn-RS"/>
        </w:rPr>
        <w:t>Tabela 10</w:t>
      </w:r>
    </w:p>
    <w:tbl>
      <w:tblPr>
        <w:tblW w:w="8804" w:type="dxa"/>
        <w:tblInd w:w="93" w:type="dxa"/>
        <w:tblLook w:val="04A0" w:firstRow="1" w:lastRow="0" w:firstColumn="1" w:lastColumn="0" w:noHBand="0" w:noVBand="1"/>
      </w:tblPr>
      <w:tblGrid>
        <w:gridCol w:w="2000"/>
        <w:gridCol w:w="992"/>
        <w:gridCol w:w="1701"/>
        <w:gridCol w:w="1701"/>
        <w:gridCol w:w="2410"/>
      </w:tblGrid>
      <w:tr w:rsidR="005934B2" w:rsidRPr="00002758" w:rsidTr="000366C5">
        <w:trPr>
          <w:trHeight w:val="1755"/>
        </w:trPr>
        <w:tc>
          <w:tcPr>
            <w:tcW w:w="200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002758" w:rsidRDefault="005934B2" w:rsidP="000366C5">
            <w:pPr>
              <w:jc w:val="left"/>
              <w:rPr>
                <w:rFonts w:ascii="Calibri" w:hAnsi="Calibri"/>
                <w:b/>
                <w:bCs/>
                <w:color w:val="auto"/>
                <w:sz w:val="18"/>
                <w:szCs w:val="18"/>
              </w:rPr>
            </w:pPr>
            <w:r w:rsidRPr="00002758">
              <w:rPr>
                <w:rFonts w:ascii="Calibri" w:hAnsi="Calibri"/>
                <w:b/>
                <w:bCs/>
                <w:color w:val="auto"/>
                <w:sz w:val="18"/>
                <w:szCs w:val="18"/>
              </w:rPr>
              <w:t>Finansijski posrednik</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5934B2" w:rsidRPr="00002758" w:rsidRDefault="005934B2" w:rsidP="000366C5">
            <w:pPr>
              <w:jc w:val="center"/>
              <w:rPr>
                <w:rFonts w:ascii="Calibri" w:hAnsi="Calibri"/>
                <w:b/>
                <w:bCs/>
                <w:color w:val="auto"/>
                <w:sz w:val="18"/>
                <w:szCs w:val="18"/>
              </w:rPr>
            </w:pPr>
            <w:r w:rsidRPr="00002758">
              <w:rPr>
                <w:rFonts w:ascii="Calibri" w:hAnsi="Calibri"/>
                <w:b/>
                <w:bCs/>
                <w:color w:val="auto"/>
                <w:sz w:val="18"/>
                <w:szCs w:val="18"/>
              </w:rPr>
              <w:t>Broj aktivnih kredita/ garancija</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rsidR="005934B2" w:rsidRPr="00002758" w:rsidRDefault="005934B2" w:rsidP="000366C5">
            <w:pPr>
              <w:jc w:val="center"/>
              <w:rPr>
                <w:rFonts w:ascii="Calibri" w:hAnsi="Calibri"/>
                <w:b/>
                <w:bCs/>
                <w:color w:val="auto"/>
                <w:sz w:val="18"/>
                <w:szCs w:val="18"/>
              </w:rPr>
            </w:pPr>
            <w:r w:rsidRPr="00002758">
              <w:rPr>
                <w:rFonts w:ascii="Calibri" w:hAnsi="Calibri"/>
                <w:b/>
                <w:bCs/>
                <w:color w:val="auto"/>
                <w:sz w:val="18"/>
                <w:szCs w:val="18"/>
              </w:rPr>
              <w:t>Stanje kredita na dan 31.12.2024. godine</w:t>
            </w:r>
          </w:p>
        </w:tc>
        <w:tc>
          <w:tcPr>
            <w:tcW w:w="1701" w:type="dxa"/>
            <w:tcBorders>
              <w:top w:val="single" w:sz="4" w:space="0" w:color="auto"/>
              <w:left w:val="nil"/>
              <w:bottom w:val="single" w:sz="4" w:space="0" w:color="auto"/>
              <w:right w:val="single" w:sz="4" w:space="0" w:color="auto"/>
            </w:tcBorders>
            <w:shd w:val="clear" w:color="000000" w:fill="8DB4E2"/>
            <w:vAlign w:val="center"/>
            <w:hideMark/>
          </w:tcPr>
          <w:p w:rsidR="005934B2" w:rsidRPr="00002758" w:rsidRDefault="005934B2" w:rsidP="000366C5">
            <w:pPr>
              <w:jc w:val="center"/>
              <w:rPr>
                <w:rFonts w:ascii="Calibri" w:hAnsi="Calibri"/>
                <w:b/>
                <w:bCs/>
                <w:color w:val="auto"/>
                <w:sz w:val="18"/>
                <w:szCs w:val="18"/>
              </w:rPr>
            </w:pPr>
            <w:r w:rsidRPr="00002758">
              <w:rPr>
                <w:rFonts w:ascii="Calibri" w:hAnsi="Calibri"/>
                <w:b/>
                <w:bCs/>
                <w:color w:val="auto"/>
                <w:sz w:val="18"/>
                <w:szCs w:val="18"/>
              </w:rPr>
              <w:t>Stanje garancija na dan 31.12.2024. godine</w:t>
            </w:r>
          </w:p>
        </w:tc>
        <w:tc>
          <w:tcPr>
            <w:tcW w:w="2410" w:type="dxa"/>
            <w:tcBorders>
              <w:top w:val="single" w:sz="4" w:space="0" w:color="auto"/>
              <w:left w:val="nil"/>
              <w:bottom w:val="single" w:sz="4" w:space="0" w:color="auto"/>
              <w:right w:val="single" w:sz="4" w:space="0" w:color="auto"/>
            </w:tcBorders>
            <w:shd w:val="clear" w:color="000000" w:fill="8DB4E2"/>
            <w:vAlign w:val="center"/>
            <w:hideMark/>
          </w:tcPr>
          <w:p w:rsidR="005934B2" w:rsidRPr="00002758" w:rsidRDefault="005934B2" w:rsidP="000366C5">
            <w:pPr>
              <w:jc w:val="center"/>
              <w:rPr>
                <w:rFonts w:ascii="Calibri" w:hAnsi="Calibri"/>
                <w:b/>
                <w:bCs/>
                <w:color w:val="auto"/>
                <w:sz w:val="18"/>
                <w:szCs w:val="18"/>
              </w:rPr>
            </w:pPr>
            <w:r w:rsidRPr="00002758">
              <w:rPr>
                <w:rFonts w:ascii="Calibri" w:hAnsi="Calibri"/>
                <w:b/>
                <w:bCs/>
                <w:color w:val="auto"/>
                <w:sz w:val="18"/>
                <w:szCs w:val="18"/>
              </w:rPr>
              <w:t>Maksimalni dozvoljeni iznos garancije (uz maksimalnu  stopu pokrića od  25% na stanje kredita) na dan 31.12.2024.</w:t>
            </w:r>
          </w:p>
        </w:tc>
      </w:tr>
      <w:tr w:rsidR="005934B2" w:rsidRPr="00002758" w:rsidTr="000366C5">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002758" w:rsidRDefault="005934B2" w:rsidP="000366C5">
            <w:pPr>
              <w:jc w:val="left"/>
              <w:rPr>
                <w:rFonts w:ascii="Calibri" w:hAnsi="Calibri"/>
                <w:color w:val="auto"/>
                <w:sz w:val="18"/>
                <w:szCs w:val="18"/>
              </w:rPr>
            </w:pPr>
            <w:r w:rsidRPr="00002758">
              <w:rPr>
                <w:rFonts w:ascii="Calibri" w:hAnsi="Calibri"/>
                <w:color w:val="auto"/>
                <w:sz w:val="18"/>
                <w:szCs w:val="18"/>
              </w:rPr>
              <w:t>Procredit bank d.d. Sarajevo</w:t>
            </w:r>
          </w:p>
        </w:tc>
        <w:tc>
          <w:tcPr>
            <w:tcW w:w="992"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center"/>
              <w:rPr>
                <w:rFonts w:ascii="Calibri" w:hAnsi="Calibri"/>
                <w:color w:val="auto"/>
                <w:sz w:val="18"/>
                <w:szCs w:val="18"/>
              </w:rPr>
            </w:pPr>
            <w:r w:rsidRPr="00002758">
              <w:rPr>
                <w:rFonts w:ascii="Calibri" w:hAnsi="Calibri"/>
                <w:color w:val="auto"/>
                <w:sz w:val="18"/>
                <w:szCs w:val="18"/>
              </w:rPr>
              <w:t>145</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29.949.438,63</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14.974.719,32</w:t>
            </w:r>
          </w:p>
        </w:tc>
        <w:tc>
          <w:tcPr>
            <w:tcW w:w="2410"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7.487.359,66</w:t>
            </w:r>
          </w:p>
        </w:tc>
      </w:tr>
      <w:tr w:rsidR="005934B2" w:rsidRPr="00002758" w:rsidTr="000366C5">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002758" w:rsidRDefault="005934B2" w:rsidP="000366C5">
            <w:pPr>
              <w:jc w:val="left"/>
              <w:rPr>
                <w:rFonts w:ascii="Calibri" w:hAnsi="Calibri"/>
                <w:color w:val="auto"/>
                <w:sz w:val="18"/>
                <w:szCs w:val="18"/>
              </w:rPr>
            </w:pPr>
            <w:r w:rsidRPr="00002758">
              <w:rPr>
                <w:rFonts w:ascii="Calibri" w:hAnsi="Calibri"/>
                <w:color w:val="auto"/>
                <w:sz w:val="18"/>
                <w:szCs w:val="18"/>
              </w:rPr>
              <w:t>Unicredit bank a.d. Banja Luka</w:t>
            </w:r>
          </w:p>
        </w:tc>
        <w:tc>
          <w:tcPr>
            <w:tcW w:w="992"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center"/>
              <w:rPr>
                <w:rFonts w:ascii="Calibri" w:hAnsi="Calibri"/>
                <w:color w:val="auto"/>
                <w:sz w:val="18"/>
                <w:szCs w:val="18"/>
              </w:rPr>
            </w:pPr>
            <w:r w:rsidRPr="00002758">
              <w:rPr>
                <w:rFonts w:ascii="Calibri" w:hAnsi="Calibri"/>
                <w:color w:val="auto"/>
                <w:sz w:val="18"/>
                <w:szCs w:val="18"/>
              </w:rPr>
              <w:t>59</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11.322.433,67</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5.661.216,84</w:t>
            </w:r>
          </w:p>
        </w:tc>
        <w:tc>
          <w:tcPr>
            <w:tcW w:w="2410"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2.830.608,42</w:t>
            </w:r>
          </w:p>
        </w:tc>
      </w:tr>
      <w:tr w:rsidR="005934B2" w:rsidRPr="00002758" w:rsidTr="000366C5">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002758" w:rsidRDefault="005934B2" w:rsidP="000366C5">
            <w:pPr>
              <w:jc w:val="left"/>
              <w:rPr>
                <w:rFonts w:ascii="Calibri" w:hAnsi="Calibri"/>
                <w:color w:val="auto"/>
                <w:sz w:val="18"/>
                <w:szCs w:val="18"/>
              </w:rPr>
            </w:pPr>
            <w:r w:rsidRPr="00002758">
              <w:rPr>
                <w:rFonts w:ascii="Calibri" w:hAnsi="Calibri"/>
                <w:color w:val="auto"/>
                <w:sz w:val="18"/>
                <w:szCs w:val="18"/>
              </w:rPr>
              <w:t>MF banka a.d. Banja Luka</w:t>
            </w:r>
          </w:p>
        </w:tc>
        <w:tc>
          <w:tcPr>
            <w:tcW w:w="992"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center"/>
              <w:rPr>
                <w:rFonts w:ascii="Calibri" w:hAnsi="Calibri"/>
                <w:color w:val="auto"/>
                <w:sz w:val="18"/>
                <w:szCs w:val="18"/>
              </w:rPr>
            </w:pPr>
            <w:r w:rsidRPr="00002758">
              <w:rPr>
                <w:rFonts w:ascii="Calibri" w:hAnsi="Calibri"/>
                <w:color w:val="auto"/>
                <w:sz w:val="18"/>
                <w:szCs w:val="18"/>
              </w:rPr>
              <w:t>19</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1.372.729,76</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686.364,88</w:t>
            </w:r>
          </w:p>
        </w:tc>
        <w:tc>
          <w:tcPr>
            <w:tcW w:w="2410"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343.182,44</w:t>
            </w:r>
          </w:p>
        </w:tc>
      </w:tr>
      <w:tr w:rsidR="005934B2" w:rsidRPr="00002758" w:rsidTr="000366C5">
        <w:trPr>
          <w:trHeight w:val="72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002758" w:rsidRDefault="005934B2" w:rsidP="000366C5">
            <w:pPr>
              <w:jc w:val="left"/>
              <w:rPr>
                <w:rFonts w:ascii="Calibri" w:hAnsi="Calibri"/>
                <w:color w:val="auto"/>
                <w:sz w:val="18"/>
                <w:szCs w:val="18"/>
              </w:rPr>
            </w:pPr>
            <w:r w:rsidRPr="00002758">
              <w:rPr>
                <w:rFonts w:ascii="Calibri" w:hAnsi="Calibri"/>
                <w:color w:val="auto"/>
                <w:sz w:val="18"/>
                <w:szCs w:val="18"/>
              </w:rPr>
              <w:t>SPARKASSE BANK d.d. Bosna i Hercegovina</w:t>
            </w:r>
          </w:p>
        </w:tc>
        <w:tc>
          <w:tcPr>
            <w:tcW w:w="992"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center"/>
              <w:rPr>
                <w:rFonts w:ascii="Calibri" w:hAnsi="Calibri"/>
                <w:color w:val="auto"/>
                <w:sz w:val="18"/>
                <w:szCs w:val="18"/>
              </w:rPr>
            </w:pPr>
            <w:r w:rsidRPr="00002758">
              <w:rPr>
                <w:rFonts w:ascii="Calibri" w:hAnsi="Calibri"/>
                <w:color w:val="auto"/>
                <w:sz w:val="18"/>
                <w:szCs w:val="18"/>
              </w:rPr>
              <w:t>10</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2.766.971,69</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1.383.485,85</w:t>
            </w:r>
          </w:p>
        </w:tc>
        <w:tc>
          <w:tcPr>
            <w:tcW w:w="2410"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691.742,92</w:t>
            </w:r>
          </w:p>
        </w:tc>
      </w:tr>
      <w:tr w:rsidR="005934B2" w:rsidRPr="00002758" w:rsidTr="000366C5">
        <w:trPr>
          <w:trHeight w:val="48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002758" w:rsidRDefault="005934B2" w:rsidP="000366C5">
            <w:pPr>
              <w:jc w:val="left"/>
              <w:rPr>
                <w:rFonts w:ascii="Calibri" w:hAnsi="Calibri"/>
                <w:color w:val="auto"/>
                <w:sz w:val="18"/>
                <w:szCs w:val="18"/>
              </w:rPr>
            </w:pPr>
            <w:r w:rsidRPr="00002758">
              <w:rPr>
                <w:rFonts w:ascii="Calibri" w:hAnsi="Calibri"/>
                <w:color w:val="auto"/>
                <w:sz w:val="18"/>
                <w:szCs w:val="18"/>
              </w:rPr>
              <w:t>MKD TAURUS d.o.o. Banja Luka</w:t>
            </w:r>
          </w:p>
        </w:tc>
        <w:tc>
          <w:tcPr>
            <w:tcW w:w="992"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center"/>
              <w:rPr>
                <w:rFonts w:ascii="Calibri" w:hAnsi="Calibri"/>
                <w:color w:val="auto"/>
                <w:sz w:val="18"/>
                <w:szCs w:val="18"/>
              </w:rPr>
            </w:pPr>
            <w:r w:rsidRPr="00002758">
              <w:rPr>
                <w:rFonts w:ascii="Calibri" w:hAnsi="Calibri"/>
                <w:color w:val="auto"/>
                <w:sz w:val="18"/>
                <w:szCs w:val="18"/>
              </w:rPr>
              <w:t>2</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48.739,88</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24.369,94</w:t>
            </w:r>
          </w:p>
        </w:tc>
        <w:tc>
          <w:tcPr>
            <w:tcW w:w="2410"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12.184,97</w:t>
            </w:r>
          </w:p>
        </w:tc>
      </w:tr>
      <w:tr w:rsidR="005934B2" w:rsidRPr="00002758" w:rsidTr="000366C5">
        <w:trPr>
          <w:trHeight w:val="96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002758" w:rsidRDefault="005934B2" w:rsidP="000366C5">
            <w:pPr>
              <w:jc w:val="left"/>
              <w:rPr>
                <w:rFonts w:ascii="Calibri" w:hAnsi="Calibri"/>
                <w:color w:val="auto"/>
                <w:sz w:val="18"/>
                <w:szCs w:val="18"/>
              </w:rPr>
            </w:pPr>
            <w:r w:rsidRPr="00002758">
              <w:rPr>
                <w:rFonts w:ascii="Calibri" w:hAnsi="Calibri"/>
                <w:color w:val="auto"/>
                <w:sz w:val="18"/>
                <w:szCs w:val="18"/>
              </w:rPr>
              <w:t>Procredit banka i Fondacija za razvoj grada Prijedora</w:t>
            </w:r>
          </w:p>
        </w:tc>
        <w:tc>
          <w:tcPr>
            <w:tcW w:w="992"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center"/>
              <w:rPr>
                <w:rFonts w:ascii="Calibri" w:hAnsi="Calibri"/>
                <w:color w:val="auto"/>
                <w:sz w:val="18"/>
                <w:szCs w:val="18"/>
              </w:rPr>
            </w:pPr>
            <w:r w:rsidRPr="00002758">
              <w:rPr>
                <w:rFonts w:ascii="Calibri" w:hAnsi="Calibri"/>
                <w:color w:val="auto"/>
                <w:sz w:val="18"/>
                <w:szCs w:val="18"/>
              </w:rPr>
              <w:t>1</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43.714,89</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21.857,45</w:t>
            </w:r>
          </w:p>
        </w:tc>
        <w:tc>
          <w:tcPr>
            <w:tcW w:w="2410"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10.928,72</w:t>
            </w:r>
          </w:p>
        </w:tc>
      </w:tr>
      <w:tr w:rsidR="005934B2" w:rsidRPr="00002758" w:rsidTr="000366C5">
        <w:trPr>
          <w:trHeight w:val="585"/>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5934B2" w:rsidRPr="00002758" w:rsidRDefault="005934B2" w:rsidP="000366C5">
            <w:pPr>
              <w:jc w:val="left"/>
              <w:rPr>
                <w:rFonts w:ascii="Calibri" w:hAnsi="Calibri"/>
                <w:color w:val="auto"/>
                <w:sz w:val="18"/>
                <w:szCs w:val="18"/>
              </w:rPr>
            </w:pPr>
            <w:r w:rsidRPr="00002758">
              <w:rPr>
                <w:rFonts w:ascii="Calibri" w:hAnsi="Calibri"/>
                <w:color w:val="auto"/>
                <w:sz w:val="18"/>
                <w:szCs w:val="18"/>
              </w:rPr>
              <w:t>Nova banka a.d. Banja Luka</w:t>
            </w:r>
          </w:p>
        </w:tc>
        <w:tc>
          <w:tcPr>
            <w:tcW w:w="992"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center"/>
              <w:rPr>
                <w:rFonts w:ascii="Calibri" w:hAnsi="Calibri"/>
                <w:color w:val="auto"/>
                <w:sz w:val="18"/>
                <w:szCs w:val="18"/>
              </w:rPr>
            </w:pPr>
            <w:r w:rsidRPr="00002758">
              <w:rPr>
                <w:rFonts w:ascii="Calibri" w:hAnsi="Calibri"/>
                <w:color w:val="auto"/>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0,00</w:t>
            </w:r>
          </w:p>
        </w:tc>
        <w:tc>
          <w:tcPr>
            <w:tcW w:w="1701"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0,00</w:t>
            </w:r>
          </w:p>
        </w:tc>
        <w:tc>
          <w:tcPr>
            <w:tcW w:w="2410" w:type="dxa"/>
            <w:tcBorders>
              <w:top w:val="nil"/>
              <w:left w:val="nil"/>
              <w:bottom w:val="single" w:sz="4" w:space="0" w:color="auto"/>
              <w:right w:val="single" w:sz="4" w:space="0" w:color="auto"/>
            </w:tcBorders>
            <w:shd w:val="clear" w:color="auto" w:fill="auto"/>
            <w:vAlign w:val="center"/>
            <w:hideMark/>
          </w:tcPr>
          <w:p w:rsidR="005934B2" w:rsidRPr="00002758" w:rsidRDefault="005934B2" w:rsidP="000366C5">
            <w:pPr>
              <w:jc w:val="right"/>
              <w:rPr>
                <w:rFonts w:ascii="Calibri" w:hAnsi="Calibri"/>
                <w:color w:val="auto"/>
                <w:sz w:val="18"/>
                <w:szCs w:val="18"/>
              </w:rPr>
            </w:pPr>
            <w:r w:rsidRPr="00002758">
              <w:rPr>
                <w:rFonts w:ascii="Calibri" w:hAnsi="Calibri"/>
                <w:color w:val="auto"/>
                <w:sz w:val="18"/>
                <w:szCs w:val="18"/>
              </w:rPr>
              <w:t>0,00</w:t>
            </w:r>
          </w:p>
        </w:tc>
      </w:tr>
      <w:tr w:rsidR="005934B2" w:rsidRPr="00002758" w:rsidTr="000366C5">
        <w:trPr>
          <w:trHeight w:val="315"/>
        </w:trPr>
        <w:tc>
          <w:tcPr>
            <w:tcW w:w="2000" w:type="dxa"/>
            <w:tcBorders>
              <w:top w:val="nil"/>
              <w:left w:val="single" w:sz="4" w:space="0" w:color="auto"/>
              <w:bottom w:val="single" w:sz="4" w:space="0" w:color="auto"/>
              <w:right w:val="single" w:sz="4" w:space="0" w:color="auto"/>
            </w:tcBorders>
            <w:shd w:val="clear" w:color="000000" w:fill="8DB4E2"/>
            <w:noWrap/>
            <w:vAlign w:val="center"/>
            <w:hideMark/>
          </w:tcPr>
          <w:p w:rsidR="005934B2" w:rsidRPr="00002758" w:rsidRDefault="005934B2" w:rsidP="000366C5">
            <w:pPr>
              <w:jc w:val="center"/>
              <w:rPr>
                <w:rFonts w:ascii="Calibri" w:hAnsi="Calibri"/>
                <w:b/>
                <w:bCs/>
                <w:color w:val="auto"/>
                <w:sz w:val="18"/>
                <w:szCs w:val="18"/>
              </w:rPr>
            </w:pPr>
            <w:r w:rsidRPr="00002758">
              <w:rPr>
                <w:rFonts w:ascii="Calibri" w:hAnsi="Calibri"/>
                <w:b/>
                <w:bCs/>
                <w:color w:val="auto"/>
                <w:sz w:val="18"/>
                <w:szCs w:val="18"/>
              </w:rPr>
              <w:t>UKUPNO</w:t>
            </w:r>
          </w:p>
        </w:tc>
        <w:tc>
          <w:tcPr>
            <w:tcW w:w="992" w:type="dxa"/>
            <w:tcBorders>
              <w:top w:val="nil"/>
              <w:left w:val="nil"/>
              <w:bottom w:val="single" w:sz="4" w:space="0" w:color="auto"/>
              <w:right w:val="single" w:sz="4" w:space="0" w:color="auto"/>
            </w:tcBorders>
            <w:shd w:val="clear" w:color="000000" w:fill="8DB4E2"/>
            <w:noWrap/>
            <w:vAlign w:val="center"/>
            <w:hideMark/>
          </w:tcPr>
          <w:p w:rsidR="005934B2" w:rsidRPr="00002758" w:rsidRDefault="005934B2" w:rsidP="000366C5">
            <w:pPr>
              <w:jc w:val="center"/>
              <w:rPr>
                <w:rFonts w:ascii="Calibri" w:hAnsi="Calibri"/>
                <w:b/>
                <w:bCs/>
                <w:color w:val="auto"/>
                <w:sz w:val="18"/>
                <w:szCs w:val="18"/>
              </w:rPr>
            </w:pPr>
            <w:r w:rsidRPr="00002758">
              <w:rPr>
                <w:rFonts w:ascii="Calibri" w:hAnsi="Calibri"/>
                <w:b/>
                <w:bCs/>
                <w:color w:val="auto"/>
                <w:sz w:val="18"/>
                <w:szCs w:val="18"/>
              </w:rPr>
              <w:t>236</w:t>
            </w:r>
          </w:p>
        </w:tc>
        <w:tc>
          <w:tcPr>
            <w:tcW w:w="1701" w:type="dxa"/>
            <w:tcBorders>
              <w:top w:val="nil"/>
              <w:left w:val="nil"/>
              <w:bottom w:val="single" w:sz="4" w:space="0" w:color="auto"/>
              <w:right w:val="single" w:sz="4" w:space="0" w:color="auto"/>
            </w:tcBorders>
            <w:shd w:val="clear" w:color="000000" w:fill="8DB4E2"/>
            <w:noWrap/>
            <w:vAlign w:val="center"/>
            <w:hideMark/>
          </w:tcPr>
          <w:p w:rsidR="005934B2" w:rsidRPr="00002758" w:rsidRDefault="005934B2" w:rsidP="000366C5">
            <w:pPr>
              <w:jc w:val="right"/>
              <w:rPr>
                <w:rFonts w:ascii="Calibri" w:hAnsi="Calibri"/>
                <w:b/>
                <w:bCs/>
                <w:color w:val="auto"/>
                <w:sz w:val="18"/>
                <w:szCs w:val="18"/>
              </w:rPr>
            </w:pPr>
            <w:r w:rsidRPr="00002758">
              <w:rPr>
                <w:rFonts w:ascii="Calibri" w:hAnsi="Calibri"/>
                <w:b/>
                <w:bCs/>
                <w:color w:val="auto"/>
                <w:sz w:val="18"/>
                <w:szCs w:val="18"/>
              </w:rPr>
              <w:t>45.504.028,52</w:t>
            </w:r>
          </w:p>
        </w:tc>
        <w:tc>
          <w:tcPr>
            <w:tcW w:w="1701" w:type="dxa"/>
            <w:tcBorders>
              <w:top w:val="nil"/>
              <w:left w:val="nil"/>
              <w:bottom w:val="single" w:sz="4" w:space="0" w:color="auto"/>
              <w:right w:val="single" w:sz="4" w:space="0" w:color="auto"/>
            </w:tcBorders>
            <w:shd w:val="clear" w:color="000000" w:fill="8DB4E2"/>
            <w:noWrap/>
            <w:vAlign w:val="center"/>
            <w:hideMark/>
          </w:tcPr>
          <w:p w:rsidR="005934B2" w:rsidRPr="00002758" w:rsidRDefault="005934B2" w:rsidP="000366C5">
            <w:pPr>
              <w:jc w:val="right"/>
              <w:rPr>
                <w:rFonts w:ascii="Calibri" w:hAnsi="Calibri"/>
                <w:b/>
                <w:bCs/>
                <w:color w:val="auto"/>
                <w:sz w:val="18"/>
                <w:szCs w:val="18"/>
              </w:rPr>
            </w:pPr>
            <w:r w:rsidRPr="00002758">
              <w:rPr>
                <w:rFonts w:ascii="Calibri" w:hAnsi="Calibri"/>
                <w:b/>
                <w:bCs/>
                <w:color w:val="auto"/>
                <w:sz w:val="18"/>
                <w:szCs w:val="18"/>
              </w:rPr>
              <w:t>22.752.014,26</w:t>
            </w:r>
          </w:p>
        </w:tc>
        <w:tc>
          <w:tcPr>
            <w:tcW w:w="2410" w:type="dxa"/>
            <w:tcBorders>
              <w:top w:val="nil"/>
              <w:left w:val="nil"/>
              <w:bottom w:val="single" w:sz="4" w:space="0" w:color="auto"/>
              <w:right w:val="single" w:sz="4" w:space="0" w:color="auto"/>
            </w:tcBorders>
            <w:shd w:val="clear" w:color="000000" w:fill="8DB4E2"/>
            <w:noWrap/>
            <w:vAlign w:val="center"/>
            <w:hideMark/>
          </w:tcPr>
          <w:p w:rsidR="005934B2" w:rsidRPr="00002758" w:rsidRDefault="005934B2" w:rsidP="000366C5">
            <w:pPr>
              <w:jc w:val="right"/>
              <w:rPr>
                <w:rFonts w:ascii="Calibri" w:hAnsi="Calibri"/>
                <w:b/>
                <w:bCs/>
                <w:color w:val="auto"/>
                <w:sz w:val="18"/>
                <w:szCs w:val="18"/>
              </w:rPr>
            </w:pPr>
            <w:r w:rsidRPr="00002758">
              <w:rPr>
                <w:rFonts w:ascii="Calibri" w:hAnsi="Calibri"/>
                <w:b/>
                <w:bCs/>
                <w:color w:val="auto"/>
                <w:sz w:val="18"/>
                <w:szCs w:val="18"/>
              </w:rPr>
              <w:t>11.376.007,13</w:t>
            </w:r>
          </w:p>
        </w:tc>
      </w:tr>
    </w:tbl>
    <w:p w:rsidR="005934B2" w:rsidRPr="005767EF" w:rsidRDefault="005934B2" w:rsidP="00A401F8">
      <w:pPr>
        <w:autoSpaceDE w:val="0"/>
        <w:autoSpaceDN w:val="0"/>
        <w:adjustRightInd w:val="0"/>
        <w:rPr>
          <w:rFonts w:asciiTheme="minorHAnsi" w:eastAsiaTheme="minorHAnsi" w:hAnsiTheme="minorHAnsi"/>
          <w:b/>
          <w:color w:val="auto"/>
          <w:sz w:val="20"/>
          <w:szCs w:val="20"/>
          <w:lang w:val="sr-Cyrl-BA" w:eastAsia="en-US"/>
        </w:rPr>
      </w:pPr>
    </w:p>
    <w:p w:rsidR="005934B2" w:rsidRDefault="005934B2" w:rsidP="00A401F8">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Od 337 ukupno plasiranih kredita u okviru kreditnog portfelja, na dan 31.12.2024. godine je  aktivno 236</w:t>
      </w:r>
      <w:r w:rsidRPr="00254480">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kredita čije s</w:t>
      </w:r>
      <w:r w:rsidRPr="005767EF">
        <w:rPr>
          <w:rFonts w:asciiTheme="minorHAnsi" w:hAnsiTheme="minorHAnsi" w:cs="Times New Roman"/>
          <w:color w:val="auto"/>
          <w:sz w:val="20"/>
          <w:szCs w:val="20"/>
          <w:lang w:val="sr-Cyrl-BA"/>
        </w:rPr>
        <w:t xml:space="preserve">tanje iznosi </w:t>
      </w:r>
      <w:r>
        <w:rPr>
          <w:rFonts w:asciiTheme="minorHAnsi" w:hAnsiTheme="minorHAnsi" w:cs="Times New Roman"/>
          <w:color w:val="auto"/>
          <w:sz w:val="20"/>
          <w:szCs w:val="20"/>
          <w:lang w:val="sr-Cyrl-BA"/>
        </w:rPr>
        <w:t>45.504.028,52 KM. Stanje pripadajućih garancija je</w:t>
      </w:r>
      <w:r w:rsidRPr="005767EF">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 xml:space="preserve">22.752.014,26 </w:t>
      </w:r>
      <w:r w:rsidRPr="005767EF">
        <w:rPr>
          <w:rFonts w:asciiTheme="minorHAnsi" w:hAnsiTheme="minorHAnsi" w:cs="Times New Roman"/>
          <w:color w:val="auto"/>
          <w:sz w:val="20"/>
          <w:szCs w:val="20"/>
          <w:lang w:val="sr-Cyrl-BA"/>
        </w:rPr>
        <w:t>KM.</w:t>
      </w:r>
      <w:r>
        <w:rPr>
          <w:rFonts w:asciiTheme="minorHAnsi" w:hAnsiTheme="minorHAnsi" w:cs="Times New Roman"/>
          <w:color w:val="auto"/>
          <w:sz w:val="20"/>
          <w:szCs w:val="20"/>
          <w:lang w:val="sr-Cyrl-BA"/>
        </w:rPr>
        <w:t xml:space="preserve"> Stanje garancija u okviru opšteg portfelja iznosi 17.802.068,45 KM, dok je stanje portfelja za energetsku efikasnost 4.949.945,82 KM.</w:t>
      </w:r>
    </w:p>
    <w:p w:rsidR="005934B2" w:rsidRDefault="005934B2" w:rsidP="00A401F8">
      <w:pPr>
        <w:pStyle w:val="Default"/>
        <w:jc w:val="both"/>
        <w:rPr>
          <w:rFonts w:asciiTheme="minorHAnsi" w:hAnsiTheme="minorHAnsi" w:cs="Times New Roman"/>
          <w:color w:val="auto"/>
          <w:sz w:val="20"/>
          <w:szCs w:val="20"/>
          <w:lang w:val="sr-Cyrl-BA"/>
        </w:rPr>
      </w:pPr>
    </w:p>
    <w:p w:rsidR="005934B2" w:rsidRPr="009F6464" w:rsidRDefault="005934B2" w:rsidP="00A401F8">
      <w:pPr>
        <w:pStyle w:val="Default"/>
        <w:jc w:val="both"/>
        <w:rPr>
          <w:rFonts w:asciiTheme="minorHAnsi" w:hAnsiTheme="minorHAnsi" w:cs="Times New Roman"/>
          <w:color w:val="auto"/>
          <w:sz w:val="20"/>
          <w:szCs w:val="20"/>
          <w:lang w:val="sr-Cyrl-BA"/>
        </w:rPr>
      </w:pPr>
      <w:r w:rsidRPr="009F6464">
        <w:rPr>
          <w:rFonts w:asciiTheme="minorHAnsi" w:hAnsiTheme="minorHAnsi" w:cs="Times New Roman"/>
          <w:color w:val="auto"/>
          <w:sz w:val="20"/>
          <w:szCs w:val="20"/>
          <w:lang w:val="sr-Cyrl-BA"/>
        </w:rPr>
        <w:t xml:space="preserve">Najviše aktivnih kredita čini portfelj Procredit bank d.d. Sarajevo, ukupno 145 kredita čije je stanje </w:t>
      </w:r>
      <w:r w:rsidRPr="009F6464">
        <w:rPr>
          <w:rFonts w:ascii="Calibri" w:hAnsi="Calibri"/>
          <w:color w:val="auto"/>
          <w:sz w:val="20"/>
          <w:szCs w:val="20"/>
        </w:rPr>
        <w:t>29.949.438,63</w:t>
      </w:r>
      <w:r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 xml:space="preserve">KM. Stanje pripadajućih garancija je </w:t>
      </w:r>
      <w:r w:rsidRPr="009F6464">
        <w:rPr>
          <w:rFonts w:ascii="Calibri" w:hAnsi="Calibri"/>
          <w:color w:val="auto"/>
          <w:sz w:val="20"/>
          <w:szCs w:val="20"/>
        </w:rPr>
        <w:t>14.974.719,32</w:t>
      </w:r>
      <w:r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 xml:space="preserve">KM. Portfolio Unicredit bank a.d. Banja Luka čini 59 kredita čije je stanje na dan 31.12.2024. godine </w:t>
      </w:r>
      <w:r w:rsidRPr="009F6464">
        <w:rPr>
          <w:rFonts w:ascii="Calibri" w:hAnsi="Calibri"/>
          <w:color w:val="auto"/>
          <w:sz w:val="20"/>
          <w:szCs w:val="20"/>
        </w:rPr>
        <w:t>11.322.433,67</w:t>
      </w:r>
      <w:r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 xml:space="preserve">KM,  dok je stanje garancija </w:t>
      </w:r>
      <w:r w:rsidRPr="009F6464">
        <w:rPr>
          <w:rFonts w:ascii="Calibri" w:hAnsi="Calibri"/>
          <w:color w:val="auto"/>
          <w:sz w:val="20"/>
          <w:szCs w:val="20"/>
        </w:rPr>
        <w:t>5.661.216,84</w:t>
      </w:r>
      <w:r w:rsidRPr="009F6464">
        <w:rPr>
          <w:rFonts w:asciiTheme="minorHAnsi" w:hAnsiTheme="minorHAnsi" w:cs="Times New Roman"/>
          <w:color w:val="auto"/>
          <w:sz w:val="20"/>
          <w:szCs w:val="20"/>
          <w:lang w:val="sr-Cyrl-BA"/>
        </w:rPr>
        <w:t xml:space="preserve"> KM. Na trećem mjestu je</w:t>
      </w:r>
      <w:r w:rsidRPr="009F6464">
        <w:rPr>
          <w:rFonts w:ascii="Calibri" w:hAnsi="Calibri"/>
          <w:color w:val="auto"/>
          <w:sz w:val="20"/>
          <w:szCs w:val="20"/>
        </w:rPr>
        <w:t xml:space="preserve"> SPARKASSE BANK d.d. Bosna i Hercegovina</w:t>
      </w:r>
      <w:r w:rsidRPr="009F6464">
        <w:rPr>
          <w:rFonts w:asciiTheme="minorHAnsi" w:hAnsiTheme="minorHAnsi" w:cs="Times New Roman"/>
          <w:color w:val="auto"/>
          <w:sz w:val="20"/>
          <w:szCs w:val="20"/>
          <w:lang w:val="sr-Cyrl-BA"/>
        </w:rPr>
        <w:t xml:space="preserve">, čiji portfolio čini 10 aktivnih kredita u iznosu od </w:t>
      </w:r>
      <w:r w:rsidRPr="009F6464">
        <w:rPr>
          <w:rFonts w:ascii="Calibri" w:hAnsi="Calibri"/>
          <w:color w:val="auto"/>
          <w:sz w:val="20"/>
          <w:szCs w:val="20"/>
        </w:rPr>
        <w:t>2.766.971,69</w:t>
      </w:r>
      <w:r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 xml:space="preserve">KM. Stanje pripadajućih garancija je </w:t>
      </w:r>
      <w:r w:rsidRPr="009F6464">
        <w:rPr>
          <w:rFonts w:ascii="Calibri" w:hAnsi="Calibri"/>
          <w:color w:val="auto"/>
          <w:sz w:val="20"/>
          <w:szCs w:val="20"/>
        </w:rPr>
        <w:t>1.383.485,85</w:t>
      </w:r>
      <w:r w:rsidRPr="009F6464">
        <w:rPr>
          <w:rFonts w:ascii="Calibri" w:hAnsi="Calibri"/>
          <w:color w:val="auto"/>
          <w:sz w:val="20"/>
          <w:szCs w:val="20"/>
          <w:lang w:val="sr-Cyrl-RS"/>
        </w:rPr>
        <w:t xml:space="preserve"> </w:t>
      </w:r>
      <w:r w:rsidRPr="009F6464">
        <w:rPr>
          <w:rFonts w:asciiTheme="minorHAnsi" w:hAnsiTheme="minorHAnsi" w:cs="Times New Roman"/>
          <w:color w:val="auto"/>
          <w:sz w:val="20"/>
          <w:szCs w:val="20"/>
          <w:lang w:val="sr-Cyrl-BA"/>
        </w:rPr>
        <w:t>KM.</w:t>
      </w:r>
    </w:p>
    <w:p w:rsidR="005934B2" w:rsidRDefault="005934B2" w:rsidP="00A401F8">
      <w:pPr>
        <w:pStyle w:val="Default"/>
        <w:jc w:val="both"/>
        <w:rPr>
          <w:rFonts w:asciiTheme="minorHAnsi" w:hAnsiTheme="minorHAnsi" w:cs="Times New Roman"/>
          <w:color w:val="auto"/>
          <w:sz w:val="20"/>
          <w:szCs w:val="20"/>
          <w:lang w:val="sr-Cyrl-BA"/>
        </w:rPr>
      </w:pPr>
    </w:p>
    <w:p w:rsidR="005934B2" w:rsidRDefault="005934B2" w:rsidP="00A401F8">
      <w:pPr>
        <w:pStyle w:val="Default"/>
        <w:jc w:val="both"/>
        <w:rPr>
          <w:rFonts w:asciiTheme="minorHAnsi" w:hAnsiTheme="minorHAnsi"/>
          <w:color w:val="000000" w:themeColor="text1"/>
          <w:sz w:val="20"/>
          <w:szCs w:val="20"/>
          <w:lang w:val="sr-Cyrl-BA"/>
        </w:rPr>
      </w:pPr>
      <w:r w:rsidRPr="0033285C">
        <w:rPr>
          <w:rFonts w:asciiTheme="minorHAnsi" w:hAnsiTheme="minorHAnsi"/>
          <w:color w:val="000000" w:themeColor="text1"/>
          <w:sz w:val="20"/>
          <w:szCs w:val="20"/>
          <w:lang w:val="sr-Cyrl-BA"/>
        </w:rPr>
        <w:t xml:space="preserve">Van snage po osnovu prijevremene otplate kredita ili redovnog isteka je tokom 2024. godine stavljeno 50 </w:t>
      </w:r>
      <w:r w:rsidRPr="007E2AAA">
        <w:rPr>
          <w:rFonts w:asciiTheme="minorHAnsi" w:hAnsiTheme="minorHAnsi"/>
          <w:color w:val="000000" w:themeColor="text1"/>
          <w:sz w:val="20"/>
          <w:szCs w:val="20"/>
          <w:lang w:val="sr-Cyrl-BA"/>
        </w:rPr>
        <w:t xml:space="preserve">garancija iz kreditnog portfelja odobrenih u nominalnom iznosu od 5.801.071,00 KM. Tokom godine su protestovane 3 garancije,  od čega je za dvije garancije u iznosu od 97.430,62 KM utvrđeno da nisu ispunjeni uslovi za plaćanje, te su oba zahtjeva odbijena. Treći zahtjev je prihvaćen, a pored njega je izvršeno i plaćanje garancije za koju je zahtjev upućen krajem 2023. godine. Svi navedeni zahtjevi su podneseni od strane MF banke, a po osnovu dva prihvaćena zahtjeva je izvršeno je plaćanje u iznosu od 56.323,90 KM. </w:t>
      </w:r>
    </w:p>
    <w:p w:rsidR="005934B2" w:rsidRDefault="005934B2" w:rsidP="00A401F8">
      <w:pPr>
        <w:pStyle w:val="Default"/>
        <w:jc w:val="both"/>
        <w:rPr>
          <w:rFonts w:asciiTheme="minorHAnsi" w:hAnsiTheme="minorHAnsi"/>
          <w:color w:val="auto"/>
          <w:sz w:val="20"/>
          <w:szCs w:val="20"/>
          <w:lang w:val="sr-Cyrl-BA"/>
        </w:rPr>
      </w:pPr>
    </w:p>
    <w:p w:rsidR="005934B2" w:rsidRPr="007E2AAA" w:rsidRDefault="005934B2" w:rsidP="00A401F8">
      <w:pPr>
        <w:pStyle w:val="Default"/>
        <w:jc w:val="both"/>
        <w:rPr>
          <w:rFonts w:asciiTheme="minorHAnsi" w:hAnsiTheme="minorHAnsi" w:cs="Times New Roman"/>
          <w:color w:val="auto"/>
          <w:sz w:val="20"/>
          <w:szCs w:val="20"/>
          <w:lang w:val="sr-Cyrl-RS"/>
        </w:rPr>
      </w:pPr>
      <w:r>
        <w:rPr>
          <w:rFonts w:asciiTheme="minorHAnsi" w:hAnsiTheme="minorHAnsi" w:cs="Times New Roman"/>
          <w:color w:val="auto"/>
          <w:sz w:val="20"/>
          <w:szCs w:val="20"/>
          <w:lang w:val="sr-Cyrl-BA"/>
        </w:rPr>
        <w:t>Iako je stopa garantovanog iznosa po pojedinačnom kreditu 50%, propisan je maksimalni dozvoljeni iznos garancije, odnosno maksimalna izloženost na nivou kreditnog portfolija koja iznosi 25</w:t>
      </w:r>
      <w:r w:rsidRPr="007E2AAA">
        <w:rPr>
          <w:rFonts w:asciiTheme="minorHAnsi" w:hAnsiTheme="minorHAnsi" w:cs="Times New Roman"/>
          <w:color w:val="000000" w:themeColor="text1"/>
          <w:sz w:val="20"/>
          <w:szCs w:val="20"/>
          <w:lang w:val="sr-Cyrl-BA"/>
        </w:rPr>
        <w:t xml:space="preserve">% vrijednosti portfelja. Maksimalni dozvoljeni iznos garancije na dan 31.12.2024. godine iznosi  </w:t>
      </w:r>
    </w:p>
    <w:p w:rsidR="005934B2" w:rsidRPr="005767EF" w:rsidRDefault="005934B2" w:rsidP="00A401F8">
      <w:pPr>
        <w:pStyle w:val="Default"/>
        <w:jc w:val="both"/>
        <w:rPr>
          <w:rFonts w:asciiTheme="minorHAnsi" w:hAnsiTheme="minorHAnsi" w:cs="Times New Roman"/>
          <w:color w:val="auto"/>
          <w:sz w:val="20"/>
          <w:szCs w:val="20"/>
          <w:lang w:val="sr-Cyrl-BA"/>
        </w:rPr>
      </w:pPr>
    </w:p>
    <w:p w:rsidR="005934B2" w:rsidRDefault="005934B2" w:rsidP="00A401F8">
      <w:pPr>
        <w:pStyle w:val="Default"/>
        <w:jc w:val="both"/>
        <w:rPr>
          <w:rFonts w:asciiTheme="minorHAnsi" w:hAnsiTheme="minorHAnsi" w:cs="Times New Roman"/>
          <w:color w:val="auto"/>
          <w:sz w:val="20"/>
          <w:szCs w:val="20"/>
          <w:lang w:val="sr-Cyrl-BA"/>
        </w:rPr>
      </w:pPr>
      <w:r>
        <w:rPr>
          <w:rFonts w:asciiTheme="minorHAnsi" w:hAnsiTheme="minorHAnsi" w:cs="Times New Roman"/>
          <w:color w:val="auto"/>
          <w:sz w:val="20"/>
          <w:szCs w:val="20"/>
          <w:lang w:val="sr-Cyrl-BA"/>
        </w:rPr>
        <w:t xml:space="preserve">Naime, član 2, </w:t>
      </w:r>
      <w:r w:rsidRPr="005767EF">
        <w:rPr>
          <w:rFonts w:asciiTheme="minorHAnsi" w:hAnsiTheme="minorHAnsi" w:cs="Times New Roman"/>
          <w:color w:val="auto"/>
          <w:sz w:val="20"/>
          <w:szCs w:val="20"/>
          <w:lang w:val="sr-Cyrl-BA"/>
        </w:rPr>
        <w:t>stav 5  Pravilni</w:t>
      </w:r>
      <w:r>
        <w:rPr>
          <w:rFonts w:asciiTheme="minorHAnsi" w:hAnsiTheme="minorHAnsi" w:cs="Times New Roman"/>
          <w:color w:val="auto"/>
          <w:sz w:val="20"/>
          <w:szCs w:val="20"/>
          <w:lang w:val="sr-Cyrl-BA"/>
        </w:rPr>
        <w:t xml:space="preserve">ka o odobravanju garancija propisuje </w:t>
      </w:r>
      <w:r w:rsidRPr="005767EF">
        <w:rPr>
          <w:rFonts w:asciiTheme="minorHAnsi" w:hAnsiTheme="minorHAnsi" w:cs="Times New Roman"/>
          <w:color w:val="auto"/>
          <w:sz w:val="20"/>
          <w:szCs w:val="20"/>
          <w:lang w:val="sr-Cyrl-BA"/>
        </w:rPr>
        <w:t xml:space="preserve"> da se g</w:t>
      </w:r>
      <w:r>
        <w:rPr>
          <w:rFonts w:asciiTheme="minorHAnsi" w:hAnsiTheme="minorHAnsi" w:cs="Times New Roman"/>
          <w:color w:val="auto"/>
          <w:sz w:val="20"/>
          <w:szCs w:val="20"/>
          <w:lang w:val="sr-Latn-RS"/>
        </w:rPr>
        <w:t>arancijom po portf</w:t>
      </w:r>
      <w:r>
        <w:rPr>
          <w:rFonts w:asciiTheme="minorHAnsi" w:hAnsiTheme="minorHAnsi" w:cs="Times New Roman"/>
          <w:color w:val="auto"/>
          <w:sz w:val="20"/>
          <w:szCs w:val="20"/>
          <w:lang w:val="sr-Cyrl-RS"/>
        </w:rPr>
        <w:t>olij</w:t>
      </w:r>
      <w:r w:rsidRPr="005767EF">
        <w:rPr>
          <w:rFonts w:asciiTheme="minorHAnsi" w:hAnsiTheme="minorHAnsi" w:cs="Times New Roman"/>
          <w:color w:val="auto"/>
          <w:sz w:val="20"/>
          <w:szCs w:val="20"/>
          <w:lang w:val="sr-Latn-RS"/>
        </w:rPr>
        <w:t>u određene banke ili druge finansijske institucije garantuje isplata ma</w:t>
      </w:r>
      <w:r>
        <w:rPr>
          <w:rFonts w:asciiTheme="minorHAnsi" w:hAnsiTheme="minorHAnsi" w:cs="Times New Roman"/>
          <w:color w:val="auto"/>
          <w:sz w:val="20"/>
          <w:szCs w:val="20"/>
          <w:lang w:val="sr-Latn-RS"/>
        </w:rPr>
        <w:t>ksimalno do 25% ukupn</w:t>
      </w:r>
      <w:r>
        <w:rPr>
          <w:rFonts w:asciiTheme="minorHAnsi" w:hAnsiTheme="minorHAnsi" w:cs="Times New Roman"/>
          <w:color w:val="auto"/>
          <w:sz w:val="20"/>
          <w:szCs w:val="20"/>
          <w:lang w:val="sr-Cyrl-RS"/>
        </w:rPr>
        <w:t xml:space="preserve">e vrijednosti portfolija. U skladu s tim, </w:t>
      </w:r>
      <w:r>
        <w:rPr>
          <w:rFonts w:asciiTheme="minorHAnsi" w:hAnsiTheme="minorHAnsi" w:cs="Times New Roman"/>
          <w:color w:val="auto"/>
          <w:sz w:val="20"/>
          <w:szCs w:val="20"/>
          <w:lang w:val="sr-Cyrl-BA"/>
        </w:rPr>
        <w:t>izloženost Garantnog fonda</w:t>
      </w:r>
      <w:r w:rsidRPr="005767EF">
        <w:rPr>
          <w:rFonts w:asciiTheme="minorHAnsi" w:hAnsiTheme="minorHAnsi" w:cs="Times New Roman"/>
          <w:color w:val="auto"/>
          <w:sz w:val="20"/>
          <w:szCs w:val="20"/>
          <w:lang w:val="sr-Cyrl-BA"/>
        </w:rPr>
        <w:t xml:space="preserve"> po izdanim g</w:t>
      </w:r>
      <w:r>
        <w:rPr>
          <w:rFonts w:asciiTheme="minorHAnsi" w:hAnsiTheme="minorHAnsi" w:cs="Times New Roman"/>
          <w:color w:val="auto"/>
          <w:sz w:val="20"/>
          <w:szCs w:val="20"/>
          <w:lang w:val="sr-Cyrl-BA"/>
        </w:rPr>
        <w:t>arancijama iz kreditnog portfolija</w:t>
      </w:r>
      <w:r w:rsidRPr="005767EF">
        <w:rPr>
          <w:rFonts w:asciiTheme="minorHAnsi" w:hAnsiTheme="minorHAnsi" w:cs="Times New Roman"/>
          <w:color w:val="auto"/>
          <w:sz w:val="20"/>
          <w:szCs w:val="20"/>
          <w:lang w:val="sr-Cyrl-BA"/>
        </w:rPr>
        <w:t xml:space="preserve"> </w:t>
      </w:r>
      <w:r>
        <w:rPr>
          <w:rFonts w:asciiTheme="minorHAnsi" w:hAnsiTheme="minorHAnsi" w:cs="Times New Roman"/>
          <w:color w:val="auto"/>
          <w:sz w:val="20"/>
          <w:szCs w:val="20"/>
          <w:lang w:val="sr-Cyrl-BA"/>
        </w:rPr>
        <w:t xml:space="preserve">na dan 31.12.2024. godine iznosi </w:t>
      </w:r>
      <w:r w:rsidRPr="007E2AAA">
        <w:rPr>
          <w:rFonts w:ascii="Calibri" w:hAnsi="Calibri"/>
          <w:bCs/>
          <w:color w:val="000000" w:themeColor="text1"/>
          <w:sz w:val="20"/>
          <w:szCs w:val="20"/>
        </w:rPr>
        <w:t>11.376.007,13</w:t>
      </w:r>
      <w:r>
        <w:rPr>
          <w:rFonts w:ascii="Calibri" w:hAnsi="Calibri"/>
          <w:bCs/>
          <w:color w:val="000000" w:themeColor="text1"/>
          <w:sz w:val="20"/>
          <w:szCs w:val="20"/>
          <w:lang w:val="sr-Cyrl-RS"/>
        </w:rPr>
        <w:t xml:space="preserve"> KM</w:t>
      </w:r>
      <w:r>
        <w:rPr>
          <w:rFonts w:asciiTheme="minorHAnsi" w:hAnsiTheme="minorHAnsi" w:cs="Times New Roman"/>
          <w:color w:val="auto"/>
          <w:sz w:val="20"/>
          <w:szCs w:val="20"/>
          <w:lang w:val="sr-Cyrl-BA"/>
        </w:rPr>
        <w:t xml:space="preserve">.  Najveća je izloženost prema </w:t>
      </w:r>
      <w:r w:rsidRPr="00035CC3">
        <w:rPr>
          <w:rFonts w:asciiTheme="minorHAnsi" w:hAnsiTheme="minorHAnsi" w:cs="Times New Roman"/>
          <w:color w:val="auto"/>
          <w:sz w:val="20"/>
          <w:szCs w:val="20"/>
          <w:lang w:val="sr-Cyrl-BA"/>
        </w:rPr>
        <w:t xml:space="preserve">Procredit bank d.d. Sarajevo </w:t>
      </w:r>
      <w:r>
        <w:rPr>
          <w:rFonts w:asciiTheme="minorHAnsi" w:hAnsiTheme="minorHAnsi" w:cs="Times New Roman"/>
          <w:color w:val="auto"/>
          <w:sz w:val="20"/>
          <w:szCs w:val="20"/>
          <w:lang w:val="sr-Cyrl-BA"/>
        </w:rPr>
        <w:t xml:space="preserve">i ona iznosi </w:t>
      </w:r>
      <w:r w:rsidRPr="00002758">
        <w:rPr>
          <w:rFonts w:ascii="Calibri" w:hAnsi="Calibri"/>
          <w:color w:val="auto"/>
          <w:sz w:val="18"/>
          <w:szCs w:val="18"/>
        </w:rPr>
        <w:t>7.487.359,66</w:t>
      </w:r>
      <w:r>
        <w:rPr>
          <w:rFonts w:ascii="Calibri" w:hAnsi="Calibri"/>
          <w:color w:val="auto"/>
          <w:sz w:val="18"/>
          <w:szCs w:val="18"/>
          <w:lang w:val="sr-Cyrl-RS"/>
        </w:rPr>
        <w:t xml:space="preserve"> </w:t>
      </w:r>
      <w:r>
        <w:rPr>
          <w:rFonts w:asciiTheme="minorHAnsi" w:hAnsiTheme="minorHAnsi" w:cs="Times New Roman"/>
          <w:color w:val="auto"/>
          <w:sz w:val="20"/>
          <w:szCs w:val="20"/>
          <w:lang w:val="sr-Cyrl-BA"/>
        </w:rPr>
        <w:t>KM.</w:t>
      </w:r>
    </w:p>
    <w:p w:rsidR="005934B2" w:rsidRDefault="005934B2" w:rsidP="00A401F8">
      <w:pPr>
        <w:pStyle w:val="Heading2"/>
        <w:numPr>
          <w:ilvl w:val="0"/>
          <w:numId w:val="0"/>
        </w:numPr>
        <w:rPr>
          <w:rFonts w:asciiTheme="minorHAnsi" w:hAnsiTheme="minorHAnsi"/>
          <w:b/>
          <w:color w:val="00B050"/>
          <w:szCs w:val="20"/>
          <w:lang w:val="sr-Cyrl-RS"/>
        </w:rPr>
      </w:pPr>
      <w:bookmarkStart w:id="8" w:name="_Toc135292172"/>
    </w:p>
    <w:p w:rsidR="005934B2" w:rsidRPr="007E2AAA" w:rsidRDefault="005934B2" w:rsidP="00A401F8">
      <w:pPr>
        <w:pStyle w:val="Heading2"/>
        <w:numPr>
          <w:ilvl w:val="0"/>
          <w:numId w:val="0"/>
        </w:numPr>
        <w:jc w:val="left"/>
        <w:rPr>
          <w:rFonts w:asciiTheme="minorHAnsi" w:hAnsiTheme="minorHAnsi"/>
          <w:color w:val="000000" w:themeColor="text1"/>
          <w:szCs w:val="20"/>
        </w:rPr>
      </w:pPr>
      <w:r w:rsidRPr="007E2AAA">
        <w:rPr>
          <w:rFonts w:asciiTheme="minorHAnsi" w:hAnsiTheme="minorHAnsi"/>
          <w:color w:val="000000" w:themeColor="text1"/>
          <w:szCs w:val="20"/>
          <w:lang w:val="sr-Cyrl-RS"/>
        </w:rPr>
        <w:t xml:space="preserve">2.3.  </w:t>
      </w:r>
      <w:r w:rsidRPr="007E2AAA">
        <w:rPr>
          <w:rFonts w:asciiTheme="minorHAnsi" w:hAnsiTheme="minorHAnsi"/>
          <w:color w:val="000000" w:themeColor="text1"/>
          <w:szCs w:val="20"/>
        </w:rPr>
        <w:t xml:space="preserve">ANALIZA  GARANCIJA </w:t>
      </w:r>
      <w:bookmarkEnd w:id="8"/>
      <w:r w:rsidRPr="007E2AAA">
        <w:rPr>
          <w:rFonts w:asciiTheme="minorHAnsi" w:hAnsiTheme="minorHAnsi"/>
          <w:color w:val="000000" w:themeColor="text1"/>
          <w:szCs w:val="20"/>
          <w:lang w:val="sr-Cyrl-RS"/>
        </w:rPr>
        <w:t>NA EMITOVANE HARTIJE OD VRIJEDNOSTI</w:t>
      </w:r>
    </w:p>
    <w:p w:rsidR="005934B2" w:rsidRPr="005767EF" w:rsidRDefault="005934B2" w:rsidP="00A401F8">
      <w:pPr>
        <w:rPr>
          <w:rFonts w:asciiTheme="minorHAnsi" w:hAnsiTheme="minorHAnsi"/>
          <w:sz w:val="20"/>
          <w:szCs w:val="20"/>
        </w:rPr>
      </w:pPr>
    </w:p>
    <w:p w:rsidR="005934B2" w:rsidRDefault="005934B2" w:rsidP="00A401F8">
      <w:pPr>
        <w:rPr>
          <w:rFonts w:asciiTheme="minorHAnsi" w:hAnsiTheme="minorHAnsi"/>
          <w:sz w:val="20"/>
          <w:szCs w:val="20"/>
          <w:lang w:val="sr-Cyrl-RS"/>
        </w:rPr>
      </w:pPr>
      <w:r>
        <w:rPr>
          <w:rFonts w:asciiTheme="minorHAnsi" w:hAnsiTheme="minorHAnsi"/>
          <w:sz w:val="20"/>
          <w:szCs w:val="20"/>
          <w:lang w:val="sr-Cyrl-BA"/>
        </w:rPr>
        <w:t>Članom  6</w:t>
      </w:r>
      <w:r w:rsidRPr="005767EF">
        <w:rPr>
          <w:rFonts w:asciiTheme="minorHAnsi" w:hAnsiTheme="minorHAnsi"/>
          <w:sz w:val="20"/>
          <w:szCs w:val="20"/>
          <w:lang w:val="sr-Cyrl-BA"/>
        </w:rPr>
        <w:t xml:space="preserve"> stav 2 </w:t>
      </w:r>
      <w:r w:rsidRPr="005767EF">
        <w:rPr>
          <w:rFonts w:asciiTheme="minorHAnsi" w:hAnsiTheme="minorHAnsi"/>
          <w:sz w:val="20"/>
          <w:szCs w:val="20"/>
        </w:rPr>
        <w:t>Zakon</w:t>
      </w:r>
      <w:r>
        <w:rPr>
          <w:rFonts w:asciiTheme="minorHAnsi" w:hAnsiTheme="minorHAnsi"/>
          <w:sz w:val="20"/>
          <w:szCs w:val="20"/>
          <w:lang w:val="sr-Cyrl-RS"/>
        </w:rPr>
        <w:t>a</w:t>
      </w:r>
      <w:r w:rsidRPr="005767EF">
        <w:rPr>
          <w:rFonts w:asciiTheme="minorHAnsi" w:hAnsiTheme="minorHAnsi"/>
          <w:sz w:val="20"/>
          <w:szCs w:val="20"/>
        </w:rPr>
        <w:t xml:space="preserve"> o izmjenama i dopunama Zakona o Garantnom fondu Republike Srpske  </w:t>
      </w:r>
      <w:r>
        <w:rPr>
          <w:rFonts w:asciiTheme="minorHAnsi" w:hAnsiTheme="minorHAnsi"/>
          <w:sz w:val="20"/>
          <w:szCs w:val="20"/>
          <w:lang w:val="sr-Cyrl-RS"/>
        </w:rPr>
        <w:t>(</w:t>
      </w:r>
      <w:r w:rsidRPr="005767EF">
        <w:rPr>
          <w:rFonts w:asciiTheme="minorHAnsi" w:hAnsiTheme="minorHAnsi"/>
          <w:sz w:val="20"/>
          <w:szCs w:val="20"/>
        </w:rPr>
        <w:t>„Službeni glasnik Republike Srpske“ broj 107/19</w:t>
      </w:r>
      <w:r w:rsidRPr="005767EF">
        <w:rPr>
          <w:rFonts w:asciiTheme="minorHAnsi" w:hAnsiTheme="minorHAnsi"/>
          <w:sz w:val="20"/>
          <w:szCs w:val="20"/>
          <w:lang w:val="sr-Cyrl-BA"/>
        </w:rPr>
        <w:t xml:space="preserve">) </w:t>
      </w:r>
      <w:r>
        <w:rPr>
          <w:rFonts w:asciiTheme="minorHAnsi" w:hAnsiTheme="minorHAnsi"/>
          <w:sz w:val="20"/>
          <w:szCs w:val="20"/>
        </w:rPr>
        <w:t xml:space="preserve"> definisana je</w:t>
      </w:r>
      <w:r w:rsidRPr="005767EF">
        <w:rPr>
          <w:rFonts w:asciiTheme="minorHAnsi" w:hAnsiTheme="minorHAnsi"/>
          <w:sz w:val="20"/>
          <w:szCs w:val="20"/>
        </w:rPr>
        <w:t xml:space="preserve"> mogućnost iz</w:t>
      </w:r>
      <w:r>
        <w:rPr>
          <w:rFonts w:asciiTheme="minorHAnsi" w:hAnsiTheme="minorHAnsi"/>
          <w:sz w:val="20"/>
          <w:szCs w:val="20"/>
        </w:rPr>
        <w:t xml:space="preserve">davanja garancija </w:t>
      </w:r>
      <w:r>
        <w:rPr>
          <w:rFonts w:asciiTheme="minorHAnsi" w:hAnsiTheme="minorHAnsi"/>
          <w:sz w:val="20"/>
          <w:szCs w:val="20"/>
          <w:lang w:val="sr-Cyrl-RS"/>
        </w:rPr>
        <w:t xml:space="preserve">kojim se </w:t>
      </w:r>
      <w:r>
        <w:rPr>
          <w:rFonts w:asciiTheme="minorHAnsi" w:hAnsiTheme="minorHAnsi"/>
          <w:sz w:val="20"/>
          <w:szCs w:val="20"/>
        </w:rPr>
        <w:t>garant</w:t>
      </w:r>
      <w:r>
        <w:rPr>
          <w:rFonts w:asciiTheme="minorHAnsi" w:hAnsiTheme="minorHAnsi"/>
          <w:sz w:val="20"/>
          <w:szCs w:val="20"/>
          <w:lang w:val="sr-Cyrl-RS"/>
        </w:rPr>
        <w:t>uju</w:t>
      </w:r>
      <w:r>
        <w:rPr>
          <w:rFonts w:asciiTheme="minorHAnsi" w:hAnsiTheme="minorHAnsi"/>
          <w:sz w:val="20"/>
          <w:szCs w:val="20"/>
        </w:rPr>
        <w:t xml:space="preserve"> finansijsk</w:t>
      </w:r>
      <w:r>
        <w:rPr>
          <w:rFonts w:asciiTheme="minorHAnsi" w:hAnsiTheme="minorHAnsi"/>
          <w:sz w:val="20"/>
          <w:szCs w:val="20"/>
          <w:lang w:val="sr-Cyrl-RS"/>
        </w:rPr>
        <w:t>e</w:t>
      </w:r>
      <w:r w:rsidRPr="005767EF">
        <w:rPr>
          <w:rFonts w:asciiTheme="minorHAnsi" w:hAnsiTheme="minorHAnsi"/>
          <w:sz w:val="20"/>
          <w:szCs w:val="20"/>
        </w:rPr>
        <w:t xml:space="preserve"> obaveza preduzetnika iz dužničkih hartija od vrijednosti koje preduzetnik emituje u skladu sa propisima kojim se uređuje tržište hartija od vrijednosti u postupku javne ponude.</w:t>
      </w:r>
    </w:p>
    <w:p w:rsidR="005934B2" w:rsidRPr="00EE734C" w:rsidRDefault="005934B2" w:rsidP="00A401F8">
      <w:pPr>
        <w:rPr>
          <w:rFonts w:asciiTheme="minorHAnsi" w:hAnsiTheme="minorHAnsi"/>
          <w:sz w:val="20"/>
          <w:szCs w:val="20"/>
          <w:lang w:val="sr-Cyrl-RS"/>
        </w:rPr>
      </w:pPr>
    </w:p>
    <w:p w:rsidR="005934B2" w:rsidRDefault="005934B2" w:rsidP="00A401F8">
      <w:pPr>
        <w:rPr>
          <w:rFonts w:asciiTheme="minorHAnsi" w:eastAsiaTheme="minorHAnsi" w:hAnsiTheme="minorHAnsi"/>
          <w:sz w:val="20"/>
          <w:szCs w:val="20"/>
          <w:lang w:val="sr-Cyrl-RS" w:eastAsia="en-US"/>
        </w:rPr>
      </w:pPr>
      <w:r>
        <w:rPr>
          <w:rFonts w:asciiTheme="minorHAnsi" w:eastAsiaTheme="minorHAnsi" w:hAnsiTheme="minorHAnsi"/>
          <w:sz w:val="20"/>
          <w:szCs w:val="20"/>
          <w:lang w:val="sr-Cyrl-RS" w:eastAsia="en-US"/>
        </w:rPr>
        <w:t xml:space="preserve">Specifičnost ove vrste garantnog posla je u tome što se kao ugovorna strana javlja Centralni registar hartija od vrijednosti a.d. Banja Luka, koji nastupa kao platni agent u ime i za račun vlasnika emitovanih hartija od vrijednosti, pritom obavljajući poslove koji se tiču obračuna anuiteta i kamata, provođenja postupka naplate, čuvanja mjenica itd.  </w:t>
      </w:r>
    </w:p>
    <w:p w:rsidR="005934B2" w:rsidRDefault="005934B2" w:rsidP="00A401F8">
      <w:pPr>
        <w:rPr>
          <w:rFonts w:asciiTheme="minorHAnsi" w:eastAsiaTheme="minorHAnsi" w:hAnsiTheme="minorHAnsi"/>
          <w:sz w:val="20"/>
          <w:szCs w:val="20"/>
          <w:lang w:val="sr-Cyrl-RS" w:eastAsia="en-US"/>
        </w:rPr>
      </w:pPr>
    </w:p>
    <w:p w:rsidR="005934B2" w:rsidRDefault="005934B2" w:rsidP="00A401F8">
      <w:pPr>
        <w:rPr>
          <w:rFonts w:asciiTheme="minorHAnsi" w:hAnsiTheme="minorHAnsi"/>
          <w:sz w:val="20"/>
          <w:szCs w:val="20"/>
          <w:lang w:val="sr-Cyrl-BA"/>
        </w:rPr>
      </w:pPr>
      <w:r>
        <w:rPr>
          <w:rFonts w:asciiTheme="minorHAnsi" w:eastAsiaTheme="minorHAnsi" w:hAnsiTheme="minorHAnsi"/>
          <w:sz w:val="20"/>
          <w:szCs w:val="20"/>
          <w:lang w:val="sr-Latn-RS" w:eastAsia="en-US"/>
        </w:rPr>
        <w:t>Uvođenjem ov</w:t>
      </w:r>
      <w:r>
        <w:rPr>
          <w:rFonts w:asciiTheme="minorHAnsi" w:eastAsiaTheme="minorHAnsi" w:hAnsiTheme="minorHAnsi"/>
          <w:sz w:val="20"/>
          <w:szCs w:val="20"/>
          <w:lang w:val="sr-Cyrl-RS" w:eastAsia="en-US"/>
        </w:rPr>
        <w:t>e</w:t>
      </w:r>
      <w:r>
        <w:rPr>
          <w:rFonts w:asciiTheme="minorHAnsi" w:eastAsiaTheme="minorHAnsi" w:hAnsiTheme="minorHAnsi"/>
          <w:sz w:val="20"/>
          <w:szCs w:val="20"/>
          <w:lang w:val="sr-Latn-RS" w:eastAsia="en-US"/>
        </w:rPr>
        <w:t xml:space="preserve"> zakonsk</w:t>
      </w:r>
      <w:r>
        <w:rPr>
          <w:rFonts w:asciiTheme="minorHAnsi" w:eastAsiaTheme="minorHAnsi" w:hAnsiTheme="minorHAnsi"/>
          <w:sz w:val="20"/>
          <w:szCs w:val="20"/>
          <w:lang w:val="sr-Cyrl-RS" w:eastAsia="en-US"/>
        </w:rPr>
        <w:t>e</w:t>
      </w:r>
      <w:r w:rsidRPr="005767EF">
        <w:rPr>
          <w:rFonts w:asciiTheme="minorHAnsi" w:eastAsiaTheme="minorHAnsi" w:hAnsiTheme="minorHAnsi"/>
          <w:sz w:val="20"/>
          <w:szCs w:val="20"/>
          <w:lang w:val="sr-Latn-RS" w:eastAsia="en-US"/>
        </w:rPr>
        <w:t xml:space="preserve"> mogućnosti</w:t>
      </w:r>
      <w:r>
        <w:rPr>
          <w:rFonts w:asciiTheme="minorHAnsi" w:eastAsiaTheme="minorHAnsi" w:hAnsiTheme="minorHAnsi"/>
          <w:sz w:val="20"/>
          <w:szCs w:val="20"/>
          <w:lang w:val="sr-Cyrl-RS" w:eastAsia="en-US"/>
        </w:rPr>
        <w:t xml:space="preserve"> krajem 2019. godine,</w:t>
      </w:r>
      <w:r w:rsidRPr="005767EF">
        <w:rPr>
          <w:rFonts w:asciiTheme="minorHAnsi" w:eastAsiaTheme="minorHAnsi" w:hAnsiTheme="minorHAnsi"/>
          <w:sz w:val="20"/>
          <w:szCs w:val="20"/>
          <w:lang w:val="sr-Latn-RS" w:eastAsia="en-US"/>
        </w:rPr>
        <w:t xml:space="preserve"> </w:t>
      </w:r>
      <w:r>
        <w:rPr>
          <w:rFonts w:asciiTheme="minorHAnsi" w:eastAsiaTheme="minorHAnsi" w:hAnsiTheme="minorHAnsi"/>
          <w:sz w:val="20"/>
          <w:szCs w:val="20"/>
          <w:lang w:val="sr-Cyrl-RS" w:eastAsia="en-US"/>
        </w:rPr>
        <w:t>Garantni f</w:t>
      </w:r>
      <w:r w:rsidRPr="005767EF">
        <w:rPr>
          <w:rFonts w:asciiTheme="minorHAnsi" w:eastAsiaTheme="minorHAnsi" w:hAnsiTheme="minorHAnsi"/>
          <w:sz w:val="20"/>
          <w:szCs w:val="20"/>
          <w:lang w:val="sr-Latn-RS" w:eastAsia="en-US"/>
        </w:rPr>
        <w:t>ond je</w:t>
      </w:r>
      <w:r>
        <w:rPr>
          <w:rFonts w:asciiTheme="minorHAnsi" w:eastAsiaTheme="minorHAnsi" w:hAnsiTheme="minorHAnsi"/>
          <w:sz w:val="20"/>
          <w:szCs w:val="20"/>
          <w:lang w:val="sr-Cyrl-BA" w:eastAsia="en-US"/>
        </w:rPr>
        <w:t xml:space="preserve"> početkom 2021. godine</w:t>
      </w:r>
      <w:r w:rsidRPr="005767EF">
        <w:rPr>
          <w:rFonts w:asciiTheme="minorHAnsi" w:eastAsiaTheme="minorHAnsi" w:hAnsiTheme="minorHAnsi"/>
          <w:sz w:val="20"/>
          <w:szCs w:val="20"/>
          <w:lang w:val="sr-Cyrl-BA" w:eastAsia="en-US"/>
        </w:rPr>
        <w:t xml:space="preserve"> </w:t>
      </w:r>
      <w:r w:rsidRPr="005767EF">
        <w:rPr>
          <w:rFonts w:asciiTheme="minorHAnsi" w:eastAsiaTheme="minorHAnsi" w:hAnsiTheme="minorHAnsi"/>
          <w:sz w:val="20"/>
          <w:szCs w:val="20"/>
          <w:lang w:val="sr-Latn-RS" w:eastAsia="en-US"/>
        </w:rPr>
        <w:t xml:space="preserve"> izdao </w:t>
      </w:r>
      <w:r>
        <w:rPr>
          <w:rFonts w:asciiTheme="minorHAnsi" w:eastAsiaTheme="minorHAnsi" w:hAnsiTheme="minorHAnsi"/>
          <w:sz w:val="20"/>
          <w:szCs w:val="20"/>
          <w:lang w:val="sr-Cyrl-RS" w:eastAsia="en-US"/>
        </w:rPr>
        <w:t xml:space="preserve">prvu </w:t>
      </w:r>
      <w:r>
        <w:rPr>
          <w:rFonts w:asciiTheme="minorHAnsi" w:eastAsiaTheme="minorHAnsi" w:hAnsiTheme="minorHAnsi"/>
          <w:sz w:val="20"/>
          <w:szCs w:val="20"/>
          <w:lang w:val="sr-Latn-RS" w:eastAsia="en-US"/>
        </w:rPr>
        <w:t>garancij</w:t>
      </w:r>
      <w:r>
        <w:rPr>
          <w:rFonts w:asciiTheme="minorHAnsi" w:eastAsiaTheme="minorHAnsi" w:hAnsiTheme="minorHAnsi"/>
          <w:sz w:val="20"/>
          <w:szCs w:val="20"/>
          <w:lang w:val="sr-Cyrl-RS" w:eastAsia="en-US"/>
        </w:rPr>
        <w:t>u</w:t>
      </w:r>
      <w:r w:rsidRPr="005767EF">
        <w:rPr>
          <w:rFonts w:asciiTheme="minorHAnsi" w:eastAsiaTheme="minorHAnsi" w:hAnsiTheme="minorHAnsi"/>
          <w:sz w:val="20"/>
          <w:szCs w:val="20"/>
          <w:lang w:val="sr-Latn-RS" w:eastAsia="en-US"/>
        </w:rPr>
        <w:t xml:space="preserve"> na emisiju obveznica </w:t>
      </w:r>
      <w:r>
        <w:rPr>
          <w:rFonts w:asciiTheme="minorHAnsi" w:eastAsiaTheme="minorHAnsi" w:hAnsiTheme="minorHAnsi"/>
          <w:sz w:val="20"/>
          <w:szCs w:val="20"/>
          <w:lang w:val="sr-Cyrl-RS" w:eastAsia="en-US"/>
        </w:rPr>
        <w:t xml:space="preserve">javnog preduzeća </w:t>
      </w:r>
      <w:r w:rsidRPr="005767EF">
        <w:rPr>
          <w:rFonts w:asciiTheme="minorHAnsi" w:eastAsiaTheme="minorHAnsi" w:hAnsiTheme="minorHAnsi"/>
          <w:sz w:val="20"/>
          <w:szCs w:val="20"/>
          <w:lang w:val="sr-Latn-RS" w:eastAsia="en-US"/>
        </w:rPr>
        <w:t xml:space="preserve">Vodovod </w:t>
      </w:r>
      <w:r>
        <w:rPr>
          <w:rFonts w:asciiTheme="minorHAnsi" w:eastAsiaTheme="minorHAnsi" w:hAnsiTheme="minorHAnsi"/>
          <w:sz w:val="20"/>
          <w:szCs w:val="20"/>
          <w:lang w:val="sr-Cyrl-RS" w:eastAsia="en-US"/>
        </w:rPr>
        <w:t xml:space="preserve">a.d. </w:t>
      </w:r>
      <w:r w:rsidRPr="005767EF">
        <w:rPr>
          <w:rFonts w:asciiTheme="minorHAnsi" w:eastAsiaTheme="minorHAnsi" w:hAnsiTheme="minorHAnsi"/>
          <w:sz w:val="20"/>
          <w:szCs w:val="20"/>
          <w:lang w:val="sr-Latn-RS" w:eastAsia="en-US"/>
        </w:rPr>
        <w:t>Kozar</w:t>
      </w:r>
      <w:r>
        <w:rPr>
          <w:rFonts w:asciiTheme="minorHAnsi" w:eastAsiaTheme="minorHAnsi" w:hAnsiTheme="minorHAnsi"/>
          <w:sz w:val="20"/>
          <w:szCs w:val="20"/>
          <w:lang w:val="sr-Latn-RS" w:eastAsia="en-US"/>
        </w:rPr>
        <w:t xml:space="preserve">ska Dubica </w:t>
      </w:r>
      <w:r w:rsidRPr="005767EF">
        <w:rPr>
          <w:rFonts w:asciiTheme="minorHAnsi" w:eastAsiaTheme="minorHAnsi" w:hAnsiTheme="minorHAnsi"/>
          <w:sz w:val="20"/>
          <w:szCs w:val="20"/>
          <w:lang w:val="sr-Latn-RS" w:eastAsia="en-US"/>
        </w:rPr>
        <w:t xml:space="preserve">u iznosu od 850.000,00 </w:t>
      </w:r>
      <w:r w:rsidRPr="005767EF">
        <w:rPr>
          <w:rFonts w:asciiTheme="minorHAnsi" w:eastAsiaTheme="minorHAnsi" w:hAnsiTheme="minorHAnsi"/>
          <w:sz w:val="20"/>
          <w:szCs w:val="20"/>
          <w:lang w:val="sr-Cyrl-BA" w:eastAsia="en-US"/>
        </w:rPr>
        <w:t>KM</w:t>
      </w:r>
      <w:r>
        <w:rPr>
          <w:rFonts w:asciiTheme="minorHAnsi" w:eastAsiaTheme="minorHAnsi" w:hAnsiTheme="minorHAnsi"/>
          <w:sz w:val="20"/>
          <w:szCs w:val="20"/>
          <w:lang w:val="sr-Cyrl-BA" w:eastAsia="en-US"/>
        </w:rPr>
        <w:t xml:space="preserve">, čime je podržana emisija hartija od vrijednosti u iznosu od 1.750.000,00 KM </w:t>
      </w:r>
      <w:r w:rsidRPr="005767EF">
        <w:rPr>
          <w:rFonts w:asciiTheme="minorHAnsi" w:eastAsiaTheme="minorHAnsi" w:hAnsiTheme="minorHAnsi"/>
          <w:sz w:val="20"/>
          <w:szCs w:val="20"/>
          <w:lang w:val="sr-Cyrl-BA" w:eastAsia="en-US"/>
        </w:rPr>
        <w:t xml:space="preserve">. </w:t>
      </w:r>
      <w:r>
        <w:rPr>
          <w:rFonts w:asciiTheme="minorHAnsi" w:hAnsiTheme="minorHAnsi"/>
          <w:sz w:val="20"/>
          <w:szCs w:val="20"/>
          <w:lang w:val="sr-Cyrl-BA"/>
        </w:rPr>
        <w:t>T</w:t>
      </w:r>
      <w:r w:rsidRPr="005767EF">
        <w:rPr>
          <w:rFonts w:asciiTheme="minorHAnsi" w:hAnsiTheme="minorHAnsi"/>
          <w:sz w:val="20"/>
          <w:szCs w:val="20"/>
          <w:lang w:val="sr-Cyrl-BA"/>
        </w:rPr>
        <w:t>okom 2023. godine</w:t>
      </w:r>
      <w:r>
        <w:rPr>
          <w:rFonts w:asciiTheme="minorHAnsi" w:hAnsiTheme="minorHAnsi"/>
          <w:sz w:val="20"/>
          <w:szCs w:val="20"/>
          <w:lang w:val="sr-Cyrl-BA"/>
        </w:rPr>
        <w:t xml:space="preserve">, </w:t>
      </w:r>
      <w:r w:rsidRPr="005767EF">
        <w:rPr>
          <w:rFonts w:asciiTheme="minorHAnsi" w:hAnsiTheme="minorHAnsi"/>
          <w:sz w:val="20"/>
          <w:szCs w:val="20"/>
          <w:lang w:val="sr-Cyrl-BA"/>
        </w:rPr>
        <w:t xml:space="preserve"> </w:t>
      </w:r>
      <w:r>
        <w:rPr>
          <w:rFonts w:asciiTheme="minorHAnsi" w:hAnsiTheme="minorHAnsi"/>
          <w:sz w:val="20"/>
          <w:szCs w:val="20"/>
          <w:lang w:val="sr-Cyrl-BA"/>
        </w:rPr>
        <w:t xml:space="preserve">Vlada Republike Srpske u funkciji </w:t>
      </w:r>
      <w:r>
        <w:rPr>
          <w:rFonts w:asciiTheme="minorHAnsi" w:hAnsiTheme="minorHAnsi"/>
          <w:sz w:val="20"/>
          <w:szCs w:val="20"/>
        </w:rPr>
        <w:t>Skupštin</w:t>
      </w:r>
      <w:r>
        <w:rPr>
          <w:rFonts w:asciiTheme="minorHAnsi" w:hAnsiTheme="minorHAnsi"/>
          <w:sz w:val="20"/>
          <w:szCs w:val="20"/>
          <w:lang w:val="sr-Cyrl-RS"/>
        </w:rPr>
        <w:t>e</w:t>
      </w:r>
      <w:r w:rsidRPr="005767EF">
        <w:rPr>
          <w:rFonts w:asciiTheme="minorHAnsi" w:hAnsiTheme="minorHAnsi"/>
          <w:sz w:val="20"/>
          <w:szCs w:val="20"/>
        </w:rPr>
        <w:t xml:space="preserve"> akcionara Garantnog fonda Republike Srpske je odobrila </w:t>
      </w:r>
      <w:r>
        <w:rPr>
          <w:rFonts w:asciiTheme="minorHAnsi" w:hAnsiTheme="minorHAnsi"/>
          <w:sz w:val="20"/>
          <w:szCs w:val="20"/>
          <w:lang w:val="sr-Cyrl-RS"/>
        </w:rPr>
        <w:t xml:space="preserve">izdavanje još dvije garancije na emitovane obveznice, i to: </w:t>
      </w:r>
      <w:r>
        <w:rPr>
          <w:rFonts w:asciiTheme="minorHAnsi" w:hAnsiTheme="minorHAnsi"/>
          <w:sz w:val="20"/>
          <w:szCs w:val="20"/>
          <w:lang w:val="sr-Cyrl-BA"/>
        </w:rPr>
        <w:t xml:space="preserve">garanciju u iznosu od 1.200.000,00 KM </w:t>
      </w:r>
      <w:r w:rsidRPr="005767EF">
        <w:rPr>
          <w:rFonts w:asciiTheme="minorHAnsi" w:hAnsiTheme="minorHAnsi"/>
          <w:sz w:val="20"/>
          <w:szCs w:val="20"/>
          <w:lang w:val="sr-Cyrl-BA"/>
        </w:rPr>
        <w:t>po zahtjevu privrednog društva Interlignum d.o.o. Te</w:t>
      </w:r>
      <w:r>
        <w:rPr>
          <w:rFonts w:asciiTheme="minorHAnsi" w:hAnsiTheme="minorHAnsi"/>
          <w:sz w:val="20"/>
          <w:szCs w:val="20"/>
          <w:lang w:val="sr-Cyrl-BA"/>
        </w:rPr>
        <w:t>slić</w:t>
      </w:r>
      <w:r w:rsidRPr="005767EF">
        <w:rPr>
          <w:rFonts w:asciiTheme="minorHAnsi" w:hAnsiTheme="minorHAnsi"/>
          <w:sz w:val="20"/>
          <w:szCs w:val="20"/>
          <w:lang w:val="sr-Cyrl-BA"/>
        </w:rPr>
        <w:t>, čime je podržano 60% vrijednosti emisije</w:t>
      </w:r>
      <w:r>
        <w:rPr>
          <w:rFonts w:asciiTheme="minorHAnsi" w:hAnsiTheme="minorHAnsi"/>
          <w:sz w:val="20"/>
          <w:szCs w:val="20"/>
          <w:lang w:val="sr-Cyrl-BA"/>
        </w:rPr>
        <w:t xml:space="preserve"> obveznica u iznosu od</w:t>
      </w:r>
      <w:r w:rsidRPr="005767EF">
        <w:rPr>
          <w:rFonts w:asciiTheme="minorHAnsi" w:hAnsiTheme="minorHAnsi"/>
          <w:sz w:val="20"/>
          <w:szCs w:val="20"/>
          <w:lang w:val="sr-Cyrl-BA"/>
        </w:rPr>
        <w:t xml:space="preserve"> </w:t>
      </w:r>
      <w:r>
        <w:rPr>
          <w:rFonts w:asciiTheme="minorHAnsi" w:hAnsiTheme="minorHAnsi"/>
          <w:sz w:val="20"/>
          <w:szCs w:val="20"/>
          <w:lang w:val="sr-Cyrl-BA"/>
        </w:rPr>
        <w:t>2.000.000,00 KM i garanciju u iznosu od 660.000,00 KM</w:t>
      </w:r>
      <w:r w:rsidRPr="005767EF">
        <w:rPr>
          <w:rFonts w:asciiTheme="minorHAnsi" w:hAnsiTheme="minorHAnsi"/>
          <w:sz w:val="20"/>
          <w:szCs w:val="20"/>
          <w:lang w:val="sr-Cyrl-BA"/>
        </w:rPr>
        <w:t xml:space="preserve"> p</w:t>
      </w:r>
      <w:r>
        <w:rPr>
          <w:rFonts w:asciiTheme="minorHAnsi" w:hAnsiTheme="minorHAnsi"/>
          <w:sz w:val="20"/>
          <w:szCs w:val="20"/>
          <w:lang w:val="sr-Cyrl-BA"/>
        </w:rPr>
        <w:t>o zahtjevu privrednog društva D</w:t>
      </w:r>
      <w:r>
        <w:rPr>
          <w:rFonts w:asciiTheme="minorHAnsi" w:hAnsiTheme="minorHAnsi"/>
          <w:sz w:val="20"/>
          <w:szCs w:val="20"/>
          <w:lang w:val="sr-Cyrl-RS"/>
        </w:rPr>
        <w:t>rvna industrija</w:t>
      </w:r>
      <w:r w:rsidRPr="005767EF">
        <w:rPr>
          <w:rFonts w:asciiTheme="minorHAnsi" w:hAnsiTheme="minorHAnsi"/>
          <w:sz w:val="20"/>
          <w:szCs w:val="20"/>
          <w:lang w:val="sr-Cyrl-BA"/>
        </w:rPr>
        <w:t xml:space="preserve"> Šipovo d.o.o. </w:t>
      </w:r>
      <w:r>
        <w:rPr>
          <w:rFonts w:asciiTheme="minorHAnsi" w:hAnsiTheme="minorHAnsi"/>
          <w:sz w:val="20"/>
          <w:szCs w:val="20"/>
          <w:lang w:val="sr-Cyrl-BA"/>
        </w:rPr>
        <w:t xml:space="preserve">Šipovo, čime je podržano 30% </w:t>
      </w:r>
      <w:r w:rsidRPr="00083935">
        <w:rPr>
          <w:rFonts w:asciiTheme="minorHAnsi" w:hAnsiTheme="minorHAnsi"/>
          <w:sz w:val="20"/>
          <w:szCs w:val="20"/>
          <w:lang w:val="sr-Cyrl-BA"/>
        </w:rPr>
        <w:t>vrijednosti e</w:t>
      </w:r>
      <w:r>
        <w:rPr>
          <w:rFonts w:asciiTheme="minorHAnsi" w:hAnsiTheme="minorHAnsi"/>
          <w:sz w:val="20"/>
          <w:szCs w:val="20"/>
          <w:lang w:val="sr-Cyrl-BA"/>
        </w:rPr>
        <w:t>misije obveznica u iznosu od 2.2</w:t>
      </w:r>
      <w:r w:rsidRPr="00083935">
        <w:rPr>
          <w:rFonts w:asciiTheme="minorHAnsi" w:hAnsiTheme="minorHAnsi"/>
          <w:sz w:val="20"/>
          <w:szCs w:val="20"/>
          <w:lang w:val="sr-Cyrl-BA"/>
        </w:rPr>
        <w:t>00.000,00 KM</w:t>
      </w:r>
      <w:r>
        <w:rPr>
          <w:rFonts w:asciiTheme="minorHAnsi" w:hAnsiTheme="minorHAnsi"/>
          <w:sz w:val="20"/>
          <w:szCs w:val="20"/>
          <w:lang w:val="sr-Cyrl-BA"/>
        </w:rPr>
        <w:t xml:space="preserve">. </w:t>
      </w: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r>
        <w:rPr>
          <w:rFonts w:asciiTheme="minorHAnsi" w:hAnsiTheme="minorHAnsi"/>
          <w:sz w:val="20"/>
          <w:szCs w:val="20"/>
          <w:lang w:val="sr-Cyrl-BA"/>
        </w:rPr>
        <w:t>Tokom 2024. godine nije bilo izdanih garancija na emitovane hartije od vrijednosti.</w:t>
      </w: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p>
    <w:p w:rsidR="005934B2" w:rsidRPr="00083935" w:rsidRDefault="005934B2" w:rsidP="00A401F8">
      <w:pPr>
        <w:rPr>
          <w:rFonts w:asciiTheme="minorHAnsi" w:hAnsiTheme="minorHAnsi"/>
          <w:sz w:val="20"/>
          <w:szCs w:val="20"/>
          <w:lang w:val="sr-Cyrl-RS"/>
        </w:rPr>
      </w:pPr>
    </w:p>
    <w:p w:rsidR="005934B2" w:rsidRDefault="005934B2" w:rsidP="00A401F8">
      <w:pPr>
        <w:jc w:val="center"/>
        <w:rPr>
          <w:rFonts w:asciiTheme="minorHAnsi" w:hAnsiTheme="minorHAnsi"/>
          <w:b/>
          <w:sz w:val="20"/>
          <w:szCs w:val="20"/>
          <w:lang w:val="sr-Cyrl-BA"/>
        </w:rPr>
      </w:pPr>
      <w:r>
        <w:rPr>
          <w:rFonts w:asciiTheme="minorHAnsi" w:hAnsiTheme="minorHAnsi"/>
          <w:b/>
          <w:sz w:val="20"/>
          <w:szCs w:val="20"/>
          <w:lang w:val="sr-Cyrl-BA"/>
        </w:rPr>
        <w:t>Stanje</w:t>
      </w:r>
      <w:r w:rsidRPr="00083935">
        <w:rPr>
          <w:rFonts w:asciiTheme="minorHAnsi" w:hAnsiTheme="minorHAnsi"/>
          <w:b/>
          <w:sz w:val="20"/>
          <w:szCs w:val="20"/>
          <w:lang w:val="sr-Cyrl-BA"/>
        </w:rPr>
        <w:t xml:space="preserve"> izdanih garancija na emitovane hartije od vrijednosti </w:t>
      </w:r>
      <w:r>
        <w:rPr>
          <w:rFonts w:asciiTheme="minorHAnsi" w:hAnsiTheme="minorHAnsi"/>
          <w:b/>
          <w:sz w:val="20"/>
          <w:szCs w:val="20"/>
          <w:lang w:val="sr-Cyrl-BA"/>
        </w:rPr>
        <w:t>na dan 31.12.2024. godine</w:t>
      </w:r>
    </w:p>
    <w:p w:rsidR="005934B2" w:rsidRDefault="005934B2" w:rsidP="00A401F8">
      <w:pPr>
        <w:jc w:val="center"/>
        <w:rPr>
          <w:rFonts w:asciiTheme="minorHAnsi" w:hAnsiTheme="minorHAnsi"/>
          <w:b/>
          <w:sz w:val="20"/>
          <w:szCs w:val="20"/>
          <w:lang w:val="sr-Cyrl-BA"/>
        </w:rPr>
      </w:pPr>
    </w:p>
    <w:p w:rsidR="005934B2" w:rsidRPr="00083935" w:rsidRDefault="005934B2" w:rsidP="00A401F8">
      <w:pPr>
        <w:jc w:val="right"/>
        <w:rPr>
          <w:rFonts w:asciiTheme="minorHAnsi" w:hAnsiTheme="minorHAnsi"/>
          <w:b/>
          <w:sz w:val="20"/>
          <w:szCs w:val="20"/>
          <w:lang w:val="sr-Cyrl-BA"/>
        </w:rPr>
      </w:pPr>
      <w:r>
        <w:rPr>
          <w:rFonts w:asciiTheme="minorHAnsi" w:hAnsiTheme="minorHAnsi"/>
          <w:b/>
          <w:sz w:val="20"/>
          <w:szCs w:val="20"/>
          <w:lang w:val="sr-Cyrl-BA"/>
        </w:rPr>
        <w:t xml:space="preserve">Tabela 11  </w:t>
      </w:r>
    </w:p>
    <w:tbl>
      <w:tblPr>
        <w:tblpPr w:leftFromText="180" w:rightFromText="180" w:vertAnchor="text" w:horzAnchor="margin" w:tblpX="108" w:tblpY="50"/>
        <w:tblOverlap w:val="never"/>
        <w:tblW w:w="8755" w:type="dxa"/>
        <w:tblLayout w:type="fixed"/>
        <w:tblLook w:val="04A0" w:firstRow="1" w:lastRow="0" w:firstColumn="1" w:lastColumn="0" w:noHBand="0" w:noVBand="1"/>
      </w:tblPr>
      <w:tblGrid>
        <w:gridCol w:w="675"/>
        <w:gridCol w:w="3402"/>
        <w:gridCol w:w="1418"/>
        <w:gridCol w:w="1701"/>
        <w:gridCol w:w="1559"/>
      </w:tblGrid>
      <w:tr w:rsidR="005934B2" w:rsidRPr="005767EF" w:rsidTr="000366C5">
        <w:trPr>
          <w:trHeight w:val="825"/>
        </w:trPr>
        <w:tc>
          <w:tcPr>
            <w:tcW w:w="67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934B2" w:rsidRPr="00083935" w:rsidRDefault="005934B2" w:rsidP="000366C5">
            <w:pPr>
              <w:ind w:right="-108" w:hanging="142"/>
              <w:jc w:val="center"/>
              <w:rPr>
                <w:rFonts w:asciiTheme="minorHAnsi" w:hAnsiTheme="minorHAnsi"/>
                <w:b/>
                <w:sz w:val="18"/>
                <w:szCs w:val="18"/>
                <w:lang w:val="sr-Cyrl-BA" w:eastAsia="sr-Latn-RS"/>
              </w:rPr>
            </w:pPr>
            <w:r w:rsidRPr="00083935">
              <w:rPr>
                <w:rFonts w:asciiTheme="minorHAnsi" w:hAnsiTheme="minorHAnsi"/>
                <w:b/>
                <w:sz w:val="18"/>
                <w:szCs w:val="18"/>
                <w:lang w:val="sr-Cyrl-BA" w:eastAsia="sr-Latn-RS"/>
              </w:rPr>
              <w:t>Redni broj</w:t>
            </w:r>
          </w:p>
        </w:tc>
        <w:tc>
          <w:tcPr>
            <w:tcW w:w="3402"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934B2" w:rsidRPr="00083935" w:rsidRDefault="005934B2" w:rsidP="000366C5">
            <w:pPr>
              <w:jc w:val="center"/>
              <w:rPr>
                <w:rFonts w:asciiTheme="minorHAnsi" w:hAnsiTheme="minorHAnsi"/>
                <w:b/>
                <w:sz w:val="18"/>
                <w:szCs w:val="18"/>
                <w:lang w:val="sr-Latn-RS" w:eastAsia="sr-Latn-RS"/>
              </w:rPr>
            </w:pPr>
            <w:r w:rsidRPr="00083935">
              <w:rPr>
                <w:rFonts w:asciiTheme="minorHAnsi" w:hAnsiTheme="minorHAnsi"/>
                <w:b/>
                <w:sz w:val="18"/>
                <w:szCs w:val="18"/>
                <w:lang w:val="sr-Latn-RS" w:eastAsia="sr-Latn-RS"/>
              </w:rPr>
              <w:t>Nalogodavac</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934B2" w:rsidRPr="00E13F69" w:rsidRDefault="005934B2" w:rsidP="000366C5">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Vrijednost emisije</w:t>
            </w:r>
          </w:p>
        </w:tc>
        <w:tc>
          <w:tcPr>
            <w:tcW w:w="1701"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934B2" w:rsidRPr="00083935" w:rsidRDefault="005934B2" w:rsidP="000366C5">
            <w:pPr>
              <w:jc w:val="center"/>
              <w:rPr>
                <w:rFonts w:asciiTheme="minorHAnsi" w:hAnsiTheme="minorHAnsi"/>
                <w:b/>
                <w:sz w:val="18"/>
                <w:szCs w:val="18"/>
                <w:lang w:val="sr-Cyrl-RS" w:eastAsia="sr-Latn-RS"/>
              </w:rPr>
            </w:pPr>
            <w:r w:rsidRPr="00083935">
              <w:rPr>
                <w:rFonts w:asciiTheme="minorHAnsi" w:hAnsiTheme="minorHAnsi"/>
                <w:b/>
                <w:sz w:val="18"/>
                <w:szCs w:val="18"/>
                <w:lang w:val="sr-Latn-RS" w:eastAsia="sr-Latn-RS"/>
              </w:rPr>
              <w:t>Iznos garancij</w:t>
            </w:r>
            <w:r w:rsidRPr="00083935">
              <w:rPr>
                <w:rFonts w:asciiTheme="minorHAnsi" w:hAnsiTheme="minorHAnsi"/>
                <w:b/>
                <w:sz w:val="18"/>
                <w:szCs w:val="18"/>
                <w:lang w:val="sr-Cyrl-RS" w:eastAsia="sr-Latn-RS"/>
              </w:rPr>
              <w:t>e</w:t>
            </w:r>
          </w:p>
        </w:tc>
        <w:tc>
          <w:tcPr>
            <w:tcW w:w="1559" w:type="dxa"/>
            <w:tcBorders>
              <w:top w:val="single" w:sz="4" w:space="0" w:color="auto"/>
              <w:left w:val="nil"/>
              <w:bottom w:val="single" w:sz="4" w:space="0" w:color="auto"/>
              <w:right w:val="single" w:sz="4" w:space="0" w:color="auto"/>
            </w:tcBorders>
            <w:shd w:val="clear" w:color="auto" w:fill="8DB3E2" w:themeFill="text2" w:themeFillTint="66"/>
          </w:tcPr>
          <w:p w:rsidR="005934B2" w:rsidRDefault="005934B2" w:rsidP="000366C5">
            <w:pPr>
              <w:jc w:val="center"/>
              <w:rPr>
                <w:rFonts w:asciiTheme="minorHAnsi" w:hAnsiTheme="minorHAnsi"/>
                <w:b/>
                <w:sz w:val="18"/>
                <w:szCs w:val="18"/>
                <w:lang w:val="sr-Cyrl-RS" w:eastAsia="sr-Latn-RS"/>
              </w:rPr>
            </w:pPr>
          </w:p>
          <w:p w:rsidR="005934B2" w:rsidRPr="00E13F69" w:rsidRDefault="005934B2" w:rsidP="000366C5">
            <w:pPr>
              <w:jc w:val="center"/>
              <w:rPr>
                <w:rFonts w:asciiTheme="minorHAnsi" w:hAnsiTheme="minorHAnsi"/>
                <w:b/>
                <w:sz w:val="18"/>
                <w:szCs w:val="18"/>
                <w:lang w:val="sr-Cyrl-RS" w:eastAsia="sr-Latn-RS"/>
              </w:rPr>
            </w:pPr>
            <w:r>
              <w:rPr>
                <w:rFonts w:asciiTheme="minorHAnsi" w:hAnsiTheme="minorHAnsi"/>
                <w:b/>
                <w:sz w:val="18"/>
                <w:szCs w:val="18"/>
                <w:lang w:val="sr-Cyrl-RS" w:eastAsia="sr-Latn-RS"/>
              </w:rPr>
              <w:t>Stanje garancija na dan 31.12.2024. godine</w:t>
            </w:r>
          </w:p>
        </w:tc>
      </w:tr>
      <w:tr w:rsidR="005934B2" w:rsidRPr="005767EF" w:rsidTr="000366C5">
        <w:trPr>
          <w:trHeight w:val="43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center"/>
              <w:rPr>
                <w:rFonts w:asciiTheme="minorHAnsi" w:hAnsiTheme="minorHAnsi"/>
                <w:bCs/>
                <w:sz w:val="18"/>
                <w:szCs w:val="18"/>
                <w:lang w:val="sr-Cyrl-RS" w:eastAsia="sr-Latn-RS"/>
              </w:rPr>
            </w:pPr>
            <w:r>
              <w:rPr>
                <w:rFonts w:asciiTheme="minorHAnsi" w:hAnsiTheme="minorHAnsi"/>
                <w:bCs/>
                <w:sz w:val="18"/>
                <w:szCs w:val="18"/>
                <w:lang w:val="sr-Cyrl-RS" w:eastAsia="sr-Latn-R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left"/>
              <w:rPr>
                <w:rFonts w:asciiTheme="minorHAnsi" w:hAnsiTheme="minorHAnsi"/>
                <w:bCs/>
                <w:sz w:val="18"/>
                <w:szCs w:val="18"/>
                <w:lang w:val="sr-Cyrl-RS" w:eastAsia="sr-Latn-RS"/>
              </w:rPr>
            </w:pPr>
            <w:r>
              <w:rPr>
                <w:rFonts w:asciiTheme="minorHAnsi" w:hAnsiTheme="minorHAnsi"/>
                <w:bCs/>
                <w:sz w:val="18"/>
                <w:szCs w:val="18"/>
                <w:lang w:val="sr-Cyrl-RS" w:eastAsia="sr-Latn-RS"/>
              </w:rPr>
              <w:t>Vodovod a.d. Kozarska Dubica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ind w:left="-249"/>
              <w:jc w:val="right"/>
              <w:rPr>
                <w:rFonts w:asciiTheme="minorHAnsi" w:hAnsiTheme="minorHAnsi"/>
                <w:sz w:val="18"/>
                <w:szCs w:val="18"/>
                <w:lang w:val="sr-Cyrl-BA" w:eastAsia="sr-Latn-RS"/>
              </w:rPr>
            </w:pPr>
            <w:r>
              <w:rPr>
                <w:rFonts w:asciiTheme="minorHAnsi" w:hAnsiTheme="minorHAnsi"/>
                <w:sz w:val="18"/>
                <w:szCs w:val="18"/>
                <w:lang w:val="sr-Cyrl-BA" w:eastAsia="sr-Latn-RS"/>
              </w:rPr>
              <w:t>1.700.000,00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right"/>
              <w:rPr>
                <w:rFonts w:asciiTheme="minorHAnsi" w:hAnsiTheme="minorHAnsi"/>
                <w:sz w:val="18"/>
                <w:szCs w:val="18"/>
                <w:lang w:val="sr-Cyrl-BA" w:eastAsia="sr-Latn-RS"/>
              </w:rPr>
            </w:pPr>
            <w:r>
              <w:rPr>
                <w:rFonts w:asciiTheme="minorHAnsi" w:hAnsiTheme="minorHAnsi"/>
                <w:sz w:val="18"/>
                <w:szCs w:val="18"/>
                <w:lang w:val="sr-Cyrl-BA" w:eastAsia="sr-Latn-RS"/>
              </w:rPr>
              <w:t>850.000,00</w:t>
            </w:r>
          </w:p>
        </w:tc>
        <w:tc>
          <w:tcPr>
            <w:tcW w:w="1559" w:type="dxa"/>
            <w:tcBorders>
              <w:top w:val="single" w:sz="4" w:space="0" w:color="auto"/>
              <w:left w:val="single" w:sz="4" w:space="0" w:color="auto"/>
              <w:bottom w:val="single" w:sz="4" w:space="0" w:color="auto"/>
              <w:right w:val="single" w:sz="4" w:space="0" w:color="auto"/>
            </w:tcBorders>
            <w:vAlign w:val="center"/>
          </w:tcPr>
          <w:p w:rsidR="005934B2" w:rsidRDefault="005934B2" w:rsidP="000366C5">
            <w:pPr>
              <w:jc w:val="right"/>
              <w:rPr>
                <w:rFonts w:asciiTheme="minorHAnsi" w:hAnsiTheme="minorHAnsi"/>
                <w:sz w:val="18"/>
                <w:szCs w:val="18"/>
                <w:lang w:val="sr-Cyrl-BA" w:eastAsia="sr-Latn-RS"/>
              </w:rPr>
            </w:pPr>
            <w:r>
              <w:rPr>
                <w:rFonts w:asciiTheme="minorHAnsi" w:hAnsiTheme="minorHAnsi"/>
                <w:sz w:val="18"/>
                <w:szCs w:val="18"/>
                <w:lang w:val="sr-Cyrl-BA" w:eastAsia="sr-Latn-RS"/>
              </w:rPr>
              <w:t>697.987,11</w:t>
            </w:r>
          </w:p>
        </w:tc>
      </w:tr>
      <w:tr w:rsidR="005934B2" w:rsidRPr="005767EF" w:rsidTr="000366C5">
        <w:trPr>
          <w:trHeight w:val="41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center"/>
              <w:rPr>
                <w:rFonts w:asciiTheme="minorHAnsi" w:hAnsiTheme="minorHAnsi"/>
                <w:bCs/>
                <w:sz w:val="18"/>
                <w:szCs w:val="18"/>
                <w:lang w:val="sr-Cyrl-RS" w:eastAsia="sr-Latn-RS"/>
              </w:rPr>
            </w:pPr>
            <w:r>
              <w:rPr>
                <w:rFonts w:asciiTheme="minorHAnsi" w:hAnsiTheme="minorHAnsi"/>
                <w:bCs/>
                <w:sz w:val="18"/>
                <w:szCs w:val="18"/>
                <w:lang w:val="sr-Cyrl-RS" w:eastAsia="sr-Latn-RS"/>
              </w:rPr>
              <w:t>2</w:t>
            </w:r>
            <w:r w:rsidRPr="00083935">
              <w:rPr>
                <w:rFonts w:asciiTheme="minorHAnsi" w:hAnsiTheme="minorHAnsi"/>
                <w:bCs/>
                <w:sz w:val="18"/>
                <w:szCs w:val="18"/>
                <w:lang w:val="sr-Cyrl-RS" w:eastAsia="sr-Latn-R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left"/>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Interlignum d.o.o. Teslić</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ind w:left="-249"/>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2.000.000,00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1.200.000,00</w:t>
            </w:r>
          </w:p>
        </w:tc>
        <w:tc>
          <w:tcPr>
            <w:tcW w:w="1559" w:type="dxa"/>
            <w:tcBorders>
              <w:top w:val="single" w:sz="4" w:space="0" w:color="auto"/>
              <w:left w:val="single" w:sz="4" w:space="0" w:color="auto"/>
              <w:bottom w:val="single" w:sz="4" w:space="0" w:color="auto"/>
              <w:right w:val="single" w:sz="4" w:space="0" w:color="auto"/>
            </w:tcBorders>
            <w:vAlign w:val="center"/>
          </w:tcPr>
          <w:p w:rsidR="005934B2" w:rsidRPr="00083935" w:rsidRDefault="005934B2" w:rsidP="000366C5">
            <w:pPr>
              <w:jc w:val="right"/>
              <w:rPr>
                <w:rFonts w:asciiTheme="minorHAnsi" w:hAnsiTheme="minorHAnsi"/>
                <w:sz w:val="18"/>
                <w:szCs w:val="18"/>
                <w:lang w:val="sr-Cyrl-BA" w:eastAsia="sr-Latn-RS"/>
              </w:rPr>
            </w:pPr>
            <w:r>
              <w:rPr>
                <w:rFonts w:asciiTheme="minorHAnsi" w:hAnsiTheme="minorHAnsi"/>
                <w:sz w:val="18"/>
                <w:szCs w:val="18"/>
                <w:lang w:val="sr-Cyrl-BA" w:eastAsia="sr-Latn-RS"/>
              </w:rPr>
              <w:t>858.081,56</w:t>
            </w:r>
          </w:p>
        </w:tc>
      </w:tr>
      <w:tr w:rsidR="005934B2" w:rsidRPr="005767EF" w:rsidTr="000366C5">
        <w:trPr>
          <w:trHeight w:val="408"/>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center"/>
              <w:rPr>
                <w:rFonts w:asciiTheme="minorHAnsi" w:hAnsiTheme="minorHAnsi"/>
                <w:bCs/>
                <w:sz w:val="18"/>
                <w:szCs w:val="18"/>
                <w:lang w:val="sr-Cyrl-RS" w:eastAsia="sr-Latn-RS"/>
              </w:rPr>
            </w:pPr>
            <w:r>
              <w:rPr>
                <w:rFonts w:asciiTheme="minorHAnsi" w:hAnsiTheme="minorHAnsi"/>
                <w:bCs/>
                <w:sz w:val="18"/>
                <w:szCs w:val="18"/>
                <w:lang w:val="sr-Cyrl-RS" w:eastAsia="sr-Latn-RS"/>
              </w:rPr>
              <w:t>3</w:t>
            </w:r>
            <w:r w:rsidRPr="00083935">
              <w:rPr>
                <w:rFonts w:asciiTheme="minorHAnsi" w:hAnsiTheme="minorHAnsi"/>
                <w:bCs/>
                <w:sz w:val="18"/>
                <w:szCs w:val="18"/>
                <w:lang w:val="sr-Cyrl-RS" w:eastAsia="sr-Latn-R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left"/>
              <w:rPr>
                <w:rFonts w:asciiTheme="minorHAnsi" w:hAnsiTheme="minorHAnsi"/>
                <w:bCs/>
                <w:sz w:val="18"/>
                <w:szCs w:val="18"/>
                <w:lang w:val="sr-Cyrl-RS" w:eastAsia="sr-Latn-RS"/>
              </w:rPr>
            </w:pPr>
            <w:r w:rsidRPr="00083935">
              <w:rPr>
                <w:rFonts w:asciiTheme="minorHAnsi" w:hAnsiTheme="minorHAnsi"/>
                <w:bCs/>
                <w:sz w:val="18"/>
                <w:szCs w:val="18"/>
                <w:lang w:val="sr-Cyrl-RS" w:eastAsia="sr-Latn-RS"/>
              </w:rPr>
              <w:t>Drvna industrija Šipovo d.o.o. Šipovo</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ind w:left="-249"/>
              <w:jc w:val="right"/>
              <w:rPr>
                <w:rFonts w:asciiTheme="minorHAnsi" w:hAnsiTheme="minorHAnsi"/>
                <w:sz w:val="18"/>
                <w:szCs w:val="18"/>
                <w:lang w:val="sr-Cyrl-BA" w:eastAsia="sr-Latn-RS"/>
              </w:rPr>
            </w:pPr>
            <w:r w:rsidRPr="00083935">
              <w:rPr>
                <w:rFonts w:asciiTheme="minorHAnsi" w:hAnsiTheme="minorHAnsi"/>
                <w:sz w:val="18"/>
                <w:szCs w:val="18"/>
                <w:lang w:val="sr-Cyrl-BA" w:eastAsia="sr-Latn-RS"/>
              </w:rPr>
              <w:t>2.200.000,00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934B2" w:rsidRPr="00083935" w:rsidRDefault="005934B2" w:rsidP="000366C5">
            <w:pPr>
              <w:jc w:val="right"/>
              <w:rPr>
                <w:rFonts w:asciiTheme="minorHAnsi" w:hAnsiTheme="minorHAnsi"/>
                <w:b/>
                <w:sz w:val="18"/>
                <w:szCs w:val="18"/>
                <w:lang w:val="sr-Cyrl-BA" w:eastAsia="sr-Latn-RS"/>
              </w:rPr>
            </w:pPr>
            <w:r w:rsidRPr="00083935">
              <w:rPr>
                <w:rFonts w:asciiTheme="minorHAnsi" w:hAnsiTheme="minorHAnsi"/>
                <w:sz w:val="18"/>
                <w:szCs w:val="18"/>
                <w:lang w:val="sr-Cyrl-BA" w:eastAsia="sr-Latn-RS"/>
              </w:rPr>
              <w:t>660.000,00</w:t>
            </w:r>
          </w:p>
        </w:tc>
        <w:tc>
          <w:tcPr>
            <w:tcW w:w="1559" w:type="dxa"/>
            <w:tcBorders>
              <w:top w:val="single" w:sz="4" w:space="0" w:color="auto"/>
              <w:left w:val="single" w:sz="4" w:space="0" w:color="auto"/>
              <w:bottom w:val="single" w:sz="4" w:space="0" w:color="auto"/>
              <w:right w:val="single" w:sz="4" w:space="0" w:color="auto"/>
            </w:tcBorders>
            <w:vAlign w:val="center"/>
          </w:tcPr>
          <w:p w:rsidR="005934B2" w:rsidRPr="00083935" w:rsidRDefault="005934B2" w:rsidP="000366C5">
            <w:pPr>
              <w:jc w:val="right"/>
              <w:rPr>
                <w:rFonts w:asciiTheme="minorHAnsi" w:hAnsiTheme="minorHAnsi"/>
                <w:sz w:val="18"/>
                <w:szCs w:val="18"/>
                <w:lang w:val="sr-Cyrl-BA" w:eastAsia="sr-Latn-RS"/>
              </w:rPr>
            </w:pPr>
            <w:r>
              <w:rPr>
                <w:rFonts w:asciiTheme="minorHAnsi" w:hAnsiTheme="minorHAnsi"/>
                <w:sz w:val="18"/>
                <w:szCs w:val="18"/>
                <w:lang w:val="sr-Cyrl-BA" w:eastAsia="sr-Latn-RS"/>
              </w:rPr>
              <w:t>554.638,43</w:t>
            </w:r>
          </w:p>
        </w:tc>
      </w:tr>
      <w:tr w:rsidR="005934B2" w:rsidRPr="005767EF" w:rsidTr="000366C5">
        <w:trPr>
          <w:trHeight w:val="379"/>
        </w:trPr>
        <w:tc>
          <w:tcPr>
            <w:tcW w:w="4077"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5934B2" w:rsidRPr="00083935" w:rsidRDefault="005934B2" w:rsidP="000366C5">
            <w:pPr>
              <w:jc w:val="right"/>
              <w:rPr>
                <w:rFonts w:asciiTheme="minorHAnsi" w:hAnsiTheme="minorHAnsi"/>
                <w:sz w:val="18"/>
                <w:szCs w:val="18"/>
                <w:lang w:val="sr-Cyrl-RS" w:eastAsia="sr-Latn-RS"/>
              </w:rPr>
            </w:pPr>
            <w:r w:rsidRPr="00083935">
              <w:rPr>
                <w:rFonts w:asciiTheme="minorHAnsi" w:hAnsiTheme="minorHAnsi"/>
                <w:b/>
                <w:bCs/>
                <w:sz w:val="18"/>
                <w:szCs w:val="18"/>
                <w:lang w:val="sr-Cyrl-RS" w:eastAsia="sr-Latn-RS"/>
              </w:rPr>
              <w:t xml:space="preserve">                               UKUPNO</w:t>
            </w:r>
            <w:r>
              <w:rPr>
                <w:rFonts w:asciiTheme="minorHAnsi" w:hAnsiTheme="minorHAnsi"/>
                <w:b/>
                <w:bCs/>
                <w:sz w:val="18"/>
                <w:szCs w:val="18"/>
                <w:lang w:val="sr-Cyrl-RS" w:eastAsia="sr-Latn-RS"/>
              </w:rPr>
              <w:t xml:space="preserve">   </w:t>
            </w:r>
            <w:r w:rsidRPr="00083935">
              <w:rPr>
                <w:rFonts w:asciiTheme="minorHAnsi" w:hAnsiTheme="minorHAnsi"/>
                <w:b/>
                <w:bCs/>
                <w:sz w:val="18"/>
                <w:szCs w:val="18"/>
                <w:lang w:val="sr-Cyrl-RS" w:eastAsia="sr-Latn-RS"/>
              </w:rPr>
              <w:t xml:space="preserve">                                                     </w:t>
            </w:r>
            <w:r>
              <w:rPr>
                <w:rFonts w:asciiTheme="minorHAnsi" w:hAnsiTheme="minorHAnsi"/>
                <w:b/>
                <w:bCs/>
                <w:sz w:val="18"/>
                <w:szCs w:val="18"/>
                <w:lang w:val="sr-Cyrl-RS" w:eastAsia="sr-Latn-R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5934B2" w:rsidRPr="00083935" w:rsidRDefault="005934B2" w:rsidP="000366C5">
            <w:pPr>
              <w:ind w:left="-249"/>
              <w:jc w:val="right"/>
              <w:rPr>
                <w:rFonts w:asciiTheme="minorHAnsi" w:hAnsiTheme="minorHAnsi"/>
                <w:b/>
                <w:sz w:val="18"/>
                <w:szCs w:val="18"/>
                <w:lang w:val="sr-Cyrl-BA" w:eastAsia="sr-Latn-RS"/>
              </w:rPr>
            </w:pPr>
            <w:r>
              <w:rPr>
                <w:rFonts w:asciiTheme="minorHAnsi" w:hAnsiTheme="minorHAnsi"/>
                <w:b/>
                <w:sz w:val="18"/>
                <w:szCs w:val="18"/>
                <w:lang w:val="sr-Cyrl-BA" w:eastAsia="sr-Latn-RS"/>
              </w:rPr>
              <w:t>5.9</w:t>
            </w:r>
            <w:r w:rsidRPr="00083935">
              <w:rPr>
                <w:rFonts w:asciiTheme="minorHAnsi" w:hAnsiTheme="minorHAnsi"/>
                <w:b/>
                <w:sz w:val="18"/>
                <w:szCs w:val="18"/>
                <w:lang w:val="sr-Cyrl-BA" w:eastAsia="sr-Latn-RS"/>
              </w:rPr>
              <w:t>00.000,00</w:t>
            </w:r>
          </w:p>
        </w:tc>
        <w:tc>
          <w:tcPr>
            <w:tcW w:w="1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5934B2" w:rsidRPr="003723CC" w:rsidRDefault="005934B2" w:rsidP="000366C5">
            <w:pPr>
              <w:jc w:val="right"/>
              <w:rPr>
                <w:rFonts w:asciiTheme="minorHAnsi" w:hAnsiTheme="minorHAnsi"/>
                <w:b/>
                <w:sz w:val="18"/>
                <w:szCs w:val="18"/>
                <w:lang w:val="sr-Cyrl-BA" w:eastAsia="sr-Latn-RS"/>
              </w:rPr>
            </w:pPr>
            <w:r w:rsidRPr="003723CC">
              <w:rPr>
                <w:rFonts w:asciiTheme="minorHAnsi" w:hAnsiTheme="minorHAnsi"/>
                <w:b/>
                <w:sz w:val="18"/>
                <w:szCs w:val="18"/>
                <w:lang w:val="sr-Cyrl-BA" w:eastAsia="sr-Latn-RS"/>
              </w:rPr>
              <w:t>2.710.000,00</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5934B2" w:rsidRPr="003723CC" w:rsidRDefault="005934B2" w:rsidP="000366C5">
            <w:pPr>
              <w:jc w:val="right"/>
              <w:rPr>
                <w:rFonts w:ascii="Calibri" w:hAnsi="Calibri"/>
                <w:b/>
                <w:sz w:val="18"/>
                <w:szCs w:val="18"/>
              </w:rPr>
            </w:pPr>
            <w:r w:rsidRPr="003723CC">
              <w:rPr>
                <w:rFonts w:ascii="Calibri" w:hAnsi="Calibri"/>
                <w:b/>
                <w:sz w:val="18"/>
                <w:szCs w:val="18"/>
              </w:rPr>
              <w:t>2.110.707,10</w:t>
            </w:r>
          </w:p>
        </w:tc>
      </w:tr>
    </w:tbl>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r>
        <w:rPr>
          <w:rFonts w:asciiTheme="minorHAnsi" w:hAnsiTheme="minorHAnsi"/>
          <w:sz w:val="20"/>
          <w:szCs w:val="20"/>
          <w:lang w:val="sr-Cyrl-BA"/>
        </w:rPr>
        <w:t>Izloženost Garantnog fonda po osnovu izdanih garancija na emitovane obveznice privrednih društava na dan 31.12.2024. godine iznosi 2.110.707,10 KM.</w:t>
      </w: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r>
        <w:rPr>
          <w:rFonts w:asciiTheme="minorHAnsi" w:hAnsiTheme="minorHAnsi"/>
          <w:sz w:val="20"/>
          <w:szCs w:val="20"/>
          <w:lang w:val="sr-Cyrl-BA"/>
        </w:rPr>
        <w:t xml:space="preserve">Specifičnost garancija na emitovane hartije od vrijednosti je i u tome što Garantni fond garantuje za dio glavnice svakog dospjelog anuiteta. Ukupan iznos garancije je jednak zbiru pojedinačnih garancija na svaki mjesečni anuitet, te se izdaje onoliko garancija koliko traje period otplate. Platni agent, u slučaju neplaćanja anuiteta od strane emitenta, podnosi zahtjev za plaćanje pojedinačne garancije koja je vezana za neplaćeni anuitet. </w:t>
      </w:r>
    </w:p>
    <w:p w:rsidR="005934B2" w:rsidRDefault="005934B2" w:rsidP="00A401F8">
      <w:pPr>
        <w:rPr>
          <w:rFonts w:asciiTheme="minorHAnsi" w:hAnsiTheme="minorHAnsi"/>
          <w:sz w:val="20"/>
          <w:szCs w:val="20"/>
          <w:lang w:val="sr-Cyrl-BA"/>
        </w:rPr>
      </w:pPr>
    </w:p>
    <w:p w:rsidR="005934B2" w:rsidRDefault="005934B2" w:rsidP="00A401F8">
      <w:pPr>
        <w:rPr>
          <w:rFonts w:asciiTheme="minorHAnsi" w:hAnsiTheme="minorHAnsi"/>
          <w:sz w:val="20"/>
          <w:szCs w:val="20"/>
          <w:lang w:val="sr-Cyrl-BA"/>
        </w:rPr>
      </w:pPr>
      <w:r>
        <w:rPr>
          <w:rFonts w:asciiTheme="minorHAnsi" w:hAnsiTheme="minorHAnsi"/>
          <w:sz w:val="20"/>
          <w:szCs w:val="20"/>
          <w:lang w:val="sr-Cyrl-BA"/>
        </w:rPr>
        <w:t xml:space="preserve">Tokom 2024. godine, izvršen je protest 12 pojedinačnih garancije na emitovane obveznice klijenta Interlignum d.o.o. Teslić u ukupnom iznosu od </w:t>
      </w:r>
      <w:r>
        <w:rPr>
          <w:rFonts w:asciiTheme="minorHAnsi" w:eastAsiaTheme="minorHAnsi" w:hAnsiTheme="minorHAnsi"/>
          <w:color w:val="auto"/>
          <w:sz w:val="20"/>
          <w:szCs w:val="20"/>
          <w:lang w:val="sr-Cyrl-BA" w:eastAsia="en-US"/>
        </w:rPr>
        <w:t>220.800,33</w:t>
      </w:r>
      <w:r w:rsidRPr="007B3B64">
        <w:rPr>
          <w:rFonts w:asciiTheme="minorHAnsi" w:eastAsiaTheme="minorHAnsi" w:hAnsiTheme="minorHAnsi"/>
          <w:color w:val="auto"/>
          <w:sz w:val="20"/>
          <w:szCs w:val="20"/>
          <w:lang w:val="sr-Cyrl-BA" w:eastAsia="en-US"/>
        </w:rPr>
        <w:t xml:space="preserve"> </w:t>
      </w:r>
      <w:r>
        <w:rPr>
          <w:rFonts w:asciiTheme="minorHAnsi" w:hAnsiTheme="minorHAnsi"/>
          <w:sz w:val="20"/>
          <w:szCs w:val="20"/>
          <w:lang w:val="sr-Cyrl-BA"/>
        </w:rPr>
        <w:t xml:space="preserve">KM i jedne pojedinačne garancije na emitovane obveznice privrednog društva Drvna industrija Šipovo d.o.o. Šipovo u iznosu od 6.834,28 KM, te je ukupan plaćeni iznos po ovom osnovu 227.634,11 KM. </w:t>
      </w:r>
    </w:p>
    <w:p w:rsidR="005934B2" w:rsidRDefault="005934B2" w:rsidP="00A401F8">
      <w:pPr>
        <w:rPr>
          <w:rFonts w:asciiTheme="minorHAnsi" w:hAnsiTheme="minorHAnsi"/>
          <w:sz w:val="20"/>
          <w:szCs w:val="20"/>
          <w:lang w:val="sr-Cyrl-BA"/>
        </w:rPr>
      </w:pPr>
    </w:p>
    <w:p w:rsidR="005934B2" w:rsidRPr="00A944C8" w:rsidRDefault="005934B2" w:rsidP="00A401F8">
      <w:pPr>
        <w:pStyle w:val="Heading2"/>
        <w:numPr>
          <w:ilvl w:val="0"/>
          <w:numId w:val="0"/>
        </w:numPr>
        <w:rPr>
          <w:rFonts w:asciiTheme="minorHAnsi" w:hAnsiTheme="minorHAnsi"/>
          <w:color w:val="FF0000"/>
          <w:szCs w:val="20"/>
          <w:lang w:val="sr-Cyrl-RS"/>
        </w:rPr>
      </w:pPr>
      <w:bookmarkStart w:id="9" w:name="_Toc135292171"/>
      <w:r w:rsidRPr="00A944C8">
        <w:rPr>
          <w:rFonts w:asciiTheme="minorHAnsi" w:hAnsiTheme="minorHAnsi"/>
          <w:szCs w:val="20"/>
          <w:lang w:val="sr-Cyrl-RS"/>
        </w:rPr>
        <w:t xml:space="preserve">2.3. </w:t>
      </w:r>
      <w:r>
        <w:rPr>
          <w:rFonts w:asciiTheme="minorHAnsi" w:hAnsiTheme="minorHAnsi"/>
          <w:szCs w:val="20"/>
        </w:rPr>
        <w:t>ANALIZA</w:t>
      </w:r>
      <w:r>
        <w:rPr>
          <w:rFonts w:asciiTheme="minorHAnsi" w:hAnsiTheme="minorHAnsi"/>
          <w:szCs w:val="20"/>
          <w:lang w:val="sr-Cyrl-RS"/>
        </w:rPr>
        <w:t xml:space="preserve"> </w:t>
      </w:r>
      <w:r w:rsidRPr="00A944C8">
        <w:rPr>
          <w:rFonts w:asciiTheme="minorHAnsi" w:hAnsiTheme="minorHAnsi"/>
          <w:szCs w:val="20"/>
        </w:rPr>
        <w:t>IZLOŽENOSTI GARANTNOG FONDA REPUBLIKE SRPSKE PREMA FINANSIJSKIM POSREDNICIMA NA DAN 31.12.202</w:t>
      </w:r>
      <w:r>
        <w:rPr>
          <w:rFonts w:asciiTheme="minorHAnsi" w:hAnsiTheme="minorHAnsi"/>
          <w:szCs w:val="20"/>
          <w:lang w:val="sr-Cyrl-RS"/>
        </w:rPr>
        <w:t>4</w:t>
      </w:r>
      <w:r w:rsidRPr="00A944C8">
        <w:rPr>
          <w:rFonts w:asciiTheme="minorHAnsi" w:hAnsiTheme="minorHAnsi"/>
          <w:szCs w:val="20"/>
        </w:rPr>
        <w:t>.</w:t>
      </w:r>
      <w:bookmarkEnd w:id="9"/>
      <w:r w:rsidRPr="00A944C8">
        <w:rPr>
          <w:rFonts w:asciiTheme="minorHAnsi" w:hAnsiTheme="minorHAnsi"/>
          <w:szCs w:val="20"/>
          <w:lang w:val="sr-Cyrl-RS"/>
        </w:rPr>
        <w:t xml:space="preserve"> GODINE</w:t>
      </w:r>
    </w:p>
    <w:p w:rsidR="005934B2" w:rsidRDefault="005934B2" w:rsidP="00A401F8">
      <w:pPr>
        <w:autoSpaceDE w:val="0"/>
        <w:autoSpaceDN w:val="0"/>
        <w:adjustRightInd w:val="0"/>
        <w:jc w:val="left"/>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CF5C14">
        <w:rPr>
          <w:rFonts w:asciiTheme="minorHAnsi" w:eastAsiaTheme="minorHAnsi" w:hAnsiTheme="minorHAnsi"/>
          <w:color w:val="auto"/>
          <w:sz w:val="20"/>
          <w:szCs w:val="20"/>
          <w:lang w:val="sr-Cyrl-BA" w:eastAsia="en-US"/>
        </w:rPr>
        <w:t>Izloženost Garantnog fonda Republike Srpske prema finansijskim posrednicima na dan 31.12.202</w:t>
      </w:r>
      <w:r>
        <w:rPr>
          <w:rFonts w:asciiTheme="minorHAnsi" w:eastAsiaTheme="minorHAnsi" w:hAnsiTheme="minorHAnsi"/>
          <w:color w:val="auto"/>
          <w:sz w:val="20"/>
          <w:szCs w:val="20"/>
          <w:lang w:val="sr-Cyrl-BA" w:eastAsia="en-US"/>
        </w:rPr>
        <w:t>4</w:t>
      </w:r>
      <w:r w:rsidRPr="00CF5C14">
        <w:rPr>
          <w:rFonts w:asciiTheme="minorHAnsi" w:eastAsiaTheme="minorHAnsi" w:hAnsiTheme="minorHAnsi"/>
          <w:color w:val="auto"/>
          <w:sz w:val="20"/>
          <w:szCs w:val="20"/>
          <w:lang w:val="sr-Cyrl-BA" w:eastAsia="en-US"/>
        </w:rPr>
        <w:t xml:space="preserve">. godine je potencijalna obaveza koju Fond ima prema bankama, odnosno drugim finansijskim </w:t>
      </w:r>
      <w:r>
        <w:rPr>
          <w:rFonts w:asciiTheme="minorHAnsi" w:eastAsiaTheme="minorHAnsi" w:hAnsiTheme="minorHAnsi"/>
          <w:color w:val="auto"/>
          <w:sz w:val="20"/>
          <w:szCs w:val="20"/>
          <w:lang w:val="sr-Cyrl-BA" w:eastAsia="en-US"/>
        </w:rPr>
        <w:t>organizacijama</w:t>
      </w:r>
      <w:r w:rsidRPr="00CF5C14">
        <w:rPr>
          <w:rFonts w:asciiTheme="minorHAnsi" w:eastAsiaTheme="minorHAnsi" w:hAnsiTheme="minorHAnsi"/>
          <w:color w:val="auto"/>
          <w:sz w:val="20"/>
          <w:szCs w:val="20"/>
          <w:lang w:val="sr-Cyrl-BA" w:eastAsia="en-US"/>
        </w:rPr>
        <w:t xml:space="preserve"> po osnovu izdanih garancija. Fond je prema finansijskim posrednicima izložen po 3 osnova: po osnovu pojedinačnih garancija na kredite, po osnovu garancija na emitovane hartije od vrijednosti i po osnovu garancija na kreditni portf</w:t>
      </w:r>
      <w:r>
        <w:rPr>
          <w:rFonts w:asciiTheme="minorHAnsi" w:eastAsiaTheme="minorHAnsi" w:hAnsiTheme="minorHAnsi"/>
          <w:color w:val="auto"/>
          <w:sz w:val="20"/>
          <w:szCs w:val="20"/>
          <w:lang w:val="sr-Cyrl-BA" w:eastAsia="en-US"/>
        </w:rPr>
        <w:t>elj</w:t>
      </w:r>
      <w:r w:rsidRPr="00CF5C14">
        <w:rPr>
          <w:rFonts w:asciiTheme="minorHAnsi" w:eastAsiaTheme="minorHAnsi" w:hAnsiTheme="minorHAnsi"/>
          <w:color w:val="auto"/>
          <w:sz w:val="20"/>
          <w:szCs w:val="20"/>
          <w:lang w:val="sr-Cyrl-BA" w:eastAsia="en-US"/>
        </w:rPr>
        <w:t>.</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9051D2">
        <w:rPr>
          <w:rFonts w:asciiTheme="minorHAnsi" w:eastAsiaTheme="minorHAnsi" w:hAnsiTheme="minorHAnsi"/>
          <w:color w:val="auto"/>
          <w:sz w:val="20"/>
          <w:szCs w:val="20"/>
          <w:lang w:val="sr-Cyrl-BA" w:eastAsia="en-US"/>
        </w:rPr>
        <w:t xml:space="preserve">Prema odredbama člana 14 stav 3 Zakona o Garantnom fondu Republike Srpske („Službeni glasnik Republike Srpske“, broj 50/10), ukupan iznos garantovanih obaveza prema jednoj banci ili finansijskoj organizaciji ne može biti veći od 30% garantnog potencijala Fonda. Garantni potencijal Fonda </w:t>
      </w:r>
      <w:r>
        <w:rPr>
          <w:rFonts w:asciiTheme="minorHAnsi" w:eastAsiaTheme="minorHAnsi" w:hAnsiTheme="minorHAnsi"/>
          <w:color w:val="auto"/>
          <w:sz w:val="20"/>
          <w:szCs w:val="20"/>
          <w:lang w:val="sr-Cyrl-BA" w:eastAsia="en-US"/>
        </w:rPr>
        <w:t>je jednak trostrukoj vrijednosti osnovnog kapitala i iznosi</w:t>
      </w:r>
      <w:r w:rsidRPr="009051D2">
        <w:rPr>
          <w:rFonts w:asciiTheme="minorHAnsi" w:eastAsiaTheme="minorHAnsi" w:hAnsiTheme="minorHAnsi"/>
          <w:color w:val="auto"/>
          <w:sz w:val="20"/>
          <w:szCs w:val="20"/>
          <w:lang w:val="sr-Cyrl-BA" w:eastAsia="en-US"/>
        </w:rPr>
        <w:t xml:space="preserve"> 90.000.000,00 KM, što je takođe utvrđeno Zakonom. Dakle, maksimalna </w:t>
      </w:r>
      <w:r>
        <w:rPr>
          <w:rFonts w:asciiTheme="minorHAnsi" w:eastAsiaTheme="minorHAnsi" w:hAnsiTheme="minorHAnsi"/>
          <w:color w:val="auto"/>
          <w:sz w:val="20"/>
          <w:szCs w:val="20"/>
          <w:lang w:val="sr-Cyrl-BA" w:eastAsia="en-US"/>
        </w:rPr>
        <w:t xml:space="preserve">dozvoljena </w:t>
      </w:r>
      <w:r w:rsidRPr="009051D2">
        <w:rPr>
          <w:rFonts w:asciiTheme="minorHAnsi" w:eastAsiaTheme="minorHAnsi" w:hAnsiTheme="minorHAnsi"/>
          <w:color w:val="auto"/>
          <w:sz w:val="20"/>
          <w:szCs w:val="20"/>
          <w:lang w:val="sr-Cyrl-BA" w:eastAsia="en-US"/>
        </w:rPr>
        <w:t xml:space="preserve">izloženost prema jednom finansijskom posredniku iznosi 27.000.000,00 KM. </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sidRPr="009051D2">
        <w:rPr>
          <w:rFonts w:asciiTheme="minorHAnsi" w:eastAsiaTheme="minorHAnsi" w:hAnsiTheme="minorHAnsi"/>
          <w:color w:val="auto"/>
          <w:sz w:val="20"/>
          <w:szCs w:val="20"/>
          <w:lang w:val="sr-Cyrl-BA" w:eastAsia="en-US"/>
        </w:rPr>
        <w:t xml:space="preserve">Poslednja kolona u tabeli 16 prikazuje </w:t>
      </w:r>
      <w:r>
        <w:rPr>
          <w:rFonts w:asciiTheme="minorHAnsi" w:eastAsiaTheme="minorHAnsi" w:hAnsiTheme="minorHAnsi"/>
          <w:color w:val="auto"/>
          <w:sz w:val="20"/>
          <w:szCs w:val="20"/>
          <w:lang w:val="sr-Cyrl-BA" w:eastAsia="en-US"/>
        </w:rPr>
        <w:t xml:space="preserve">ukupnu izloženost </w:t>
      </w:r>
      <w:r w:rsidRPr="00EE5F06">
        <w:rPr>
          <w:rFonts w:asciiTheme="minorHAnsi" w:eastAsiaTheme="minorHAnsi" w:hAnsiTheme="minorHAnsi"/>
          <w:color w:val="auto"/>
          <w:sz w:val="20"/>
          <w:szCs w:val="20"/>
          <w:lang w:val="sr-Cyrl-BA" w:eastAsia="en-US"/>
        </w:rPr>
        <w:t xml:space="preserve">prema svakom finansijskom posredniku, te stopu izloženosti u odnosu na maksimalno dozvoljeni iznos. Najveća je izloženost prema Prokredit banci i ona na dan 31.12.2024. godine iznosi </w:t>
      </w:r>
      <w:r w:rsidRPr="00EE5F06">
        <w:rPr>
          <w:rFonts w:ascii="Calibri" w:hAnsi="Calibri"/>
          <w:color w:val="auto"/>
          <w:sz w:val="20"/>
          <w:szCs w:val="20"/>
        </w:rPr>
        <w:t>9.</w:t>
      </w:r>
      <w:r>
        <w:rPr>
          <w:rFonts w:ascii="Calibri" w:hAnsi="Calibri"/>
          <w:color w:val="auto"/>
          <w:sz w:val="20"/>
          <w:szCs w:val="20"/>
          <w:lang w:val="sr-Cyrl-RS"/>
        </w:rPr>
        <w:t>724.294,22</w:t>
      </w:r>
      <w:r w:rsidRPr="00EE5F06">
        <w:rPr>
          <w:rFonts w:ascii="Calibri" w:hAnsi="Calibri"/>
          <w:color w:val="auto"/>
          <w:sz w:val="20"/>
          <w:szCs w:val="20"/>
          <w:lang w:val="sr-Cyrl-RS"/>
        </w:rPr>
        <w:t xml:space="preserve"> </w:t>
      </w:r>
      <w:r w:rsidRPr="00EE5F06">
        <w:rPr>
          <w:rFonts w:asciiTheme="minorHAnsi" w:eastAsiaTheme="minorHAnsi" w:hAnsiTheme="minorHAnsi"/>
          <w:color w:val="auto"/>
          <w:sz w:val="20"/>
          <w:szCs w:val="20"/>
          <w:lang w:val="sr-Cyrl-BA" w:eastAsia="en-US"/>
        </w:rPr>
        <w:t>KM</w:t>
      </w:r>
      <w:r w:rsidRPr="009051D2">
        <w:rPr>
          <w:rFonts w:asciiTheme="minorHAnsi" w:eastAsiaTheme="minorHAnsi" w:hAnsiTheme="minorHAnsi"/>
          <w:color w:val="auto"/>
          <w:sz w:val="20"/>
          <w:szCs w:val="20"/>
          <w:lang w:val="sr-Cyrl-BA" w:eastAsia="en-US"/>
        </w:rPr>
        <w:t>, što predstavlja trećinu (</w:t>
      </w:r>
      <w:r>
        <w:rPr>
          <w:rFonts w:asciiTheme="minorHAnsi" w:eastAsiaTheme="minorHAnsi" w:hAnsiTheme="minorHAnsi"/>
          <w:color w:val="auto"/>
          <w:sz w:val="20"/>
          <w:szCs w:val="20"/>
          <w:lang w:val="sr-Cyrl-BA" w:eastAsia="en-US"/>
        </w:rPr>
        <w:t>34,56</w:t>
      </w:r>
      <w:r w:rsidRPr="009051D2">
        <w:rPr>
          <w:rFonts w:asciiTheme="minorHAnsi" w:eastAsiaTheme="minorHAnsi" w:hAnsiTheme="minorHAnsi"/>
          <w:color w:val="auto"/>
          <w:sz w:val="20"/>
          <w:szCs w:val="20"/>
          <w:lang w:val="sr-Cyrl-BA" w:eastAsia="en-US"/>
        </w:rPr>
        <w:t>%) maksimalno dozvoljene izloženosti prema</w:t>
      </w:r>
      <w:r>
        <w:rPr>
          <w:rFonts w:asciiTheme="minorHAnsi" w:eastAsiaTheme="minorHAnsi" w:hAnsiTheme="minorHAnsi"/>
          <w:color w:val="auto"/>
          <w:sz w:val="20"/>
          <w:szCs w:val="20"/>
          <w:lang w:val="sr-Cyrl-BA" w:eastAsia="en-US"/>
        </w:rPr>
        <w:t xml:space="preserve"> jednom finansijskom posredniku.</w:t>
      </w:r>
    </w:p>
    <w:p w:rsidR="005934B2" w:rsidRPr="00CF5C14"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p>
    <w:p w:rsidR="005934B2" w:rsidRPr="00EE5F06" w:rsidRDefault="005934B2" w:rsidP="00A401F8">
      <w:pPr>
        <w:autoSpaceDE w:val="0"/>
        <w:autoSpaceDN w:val="0"/>
        <w:adjustRightInd w:val="0"/>
        <w:ind w:left="720"/>
        <w:jc w:val="center"/>
        <w:rPr>
          <w:rFonts w:asciiTheme="minorHAnsi" w:eastAsiaTheme="minorHAnsi" w:hAnsiTheme="minorHAnsi"/>
          <w:b/>
          <w:color w:val="auto"/>
          <w:sz w:val="20"/>
          <w:szCs w:val="20"/>
          <w:lang w:val="sr-Cyrl-BA" w:eastAsia="en-US"/>
        </w:rPr>
      </w:pPr>
      <w:r w:rsidRPr="00FF73BD">
        <w:rPr>
          <w:rFonts w:asciiTheme="minorHAnsi" w:eastAsiaTheme="minorHAnsi" w:hAnsiTheme="minorHAnsi"/>
          <w:b/>
          <w:color w:val="auto"/>
          <w:sz w:val="20"/>
          <w:szCs w:val="20"/>
          <w:lang w:val="sr-Cyrl-BA" w:eastAsia="en-US"/>
        </w:rPr>
        <w:t>Pregled  izloženosti Garantnog fonda Republike Srpske  prema finansijskim posrednicima na dan 31.12.202</w:t>
      </w:r>
      <w:r>
        <w:rPr>
          <w:rFonts w:asciiTheme="minorHAnsi" w:eastAsiaTheme="minorHAnsi" w:hAnsiTheme="minorHAnsi"/>
          <w:b/>
          <w:color w:val="auto"/>
          <w:sz w:val="20"/>
          <w:szCs w:val="20"/>
          <w:lang w:val="sr-Cyrl-BA" w:eastAsia="en-US"/>
        </w:rPr>
        <w:t>4</w:t>
      </w:r>
      <w:r w:rsidRPr="00FF73BD">
        <w:rPr>
          <w:rFonts w:asciiTheme="minorHAnsi" w:eastAsiaTheme="minorHAnsi" w:hAnsiTheme="minorHAnsi"/>
          <w:b/>
          <w:color w:val="auto"/>
          <w:sz w:val="20"/>
          <w:szCs w:val="20"/>
          <w:lang w:val="sr-Cyrl-BA" w:eastAsia="en-US"/>
        </w:rPr>
        <w:t>. godine</w:t>
      </w:r>
      <w:r>
        <w:rPr>
          <w:rFonts w:asciiTheme="minorHAnsi" w:eastAsiaTheme="minorHAnsi" w:hAnsiTheme="minorHAnsi"/>
          <w:color w:val="auto"/>
          <w:sz w:val="20"/>
          <w:szCs w:val="20"/>
          <w:lang w:val="sr-Cyrl-BA" w:eastAsia="en-US"/>
        </w:rPr>
        <w:tab/>
        <w:t xml:space="preserve">                </w:t>
      </w:r>
    </w:p>
    <w:p w:rsidR="005934B2" w:rsidRPr="00EE5F06" w:rsidRDefault="005934B2" w:rsidP="00A401F8">
      <w:pPr>
        <w:autoSpaceDE w:val="0"/>
        <w:autoSpaceDN w:val="0"/>
        <w:adjustRightInd w:val="0"/>
        <w:jc w:val="right"/>
        <w:rPr>
          <w:rFonts w:asciiTheme="minorHAnsi" w:eastAsiaTheme="minorHAnsi" w:hAnsiTheme="minorHAnsi"/>
          <w:b/>
          <w:color w:val="auto"/>
          <w:sz w:val="20"/>
          <w:szCs w:val="20"/>
          <w:lang w:val="sr-Cyrl-BA" w:eastAsia="en-US"/>
        </w:rPr>
      </w:pPr>
      <w:r w:rsidRPr="00EE5F06">
        <w:rPr>
          <w:rFonts w:asciiTheme="minorHAnsi" w:eastAsiaTheme="minorHAnsi" w:hAnsiTheme="minorHAnsi"/>
          <w:b/>
          <w:color w:val="auto"/>
          <w:sz w:val="20"/>
          <w:szCs w:val="20"/>
          <w:lang w:val="sr-Cyrl-BA" w:eastAsia="en-US"/>
        </w:rPr>
        <w:t>Tabela 1</w:t>
      </w:r>
      <w:r>
        <w:rPr>
          <w:rFonts w:asciiTheme="minorHAnsi" w:eastAsiaTheme="minorHAnsi" w:hAnsiTheme="minorHAnsi"/>
          <w:b/>
          <w:color w:val="auto"/>
          <w:sz w:val="20"/>
          <w:szCs w:val="20"/>
          <w:lang w:val="sr-Cyrl-BA" w:eastAsia="en-US"/>
        </w:rPr>
        <w:t>2</w:t>
      </w:r>
    </w:p>
    <w:tbl>
      <w:tblPr>
        <w:tblW w:w="8931" w:type="dxa"/>
        <w:tblInd w:w="108" w:type="dxa"/>
        <w:tblLook w:val="04A0" w:firstRow="1" w:lastRow="0" w:firstColumn="1" w:lastColumn="0" w:noHBand="0" w:noVBand="1"/>
      </w:tblPr>
      <w:tblGrid>
        <w:gridCol w:w="1843"/>
        <w:gridCol w:w="1651"/>
        <w:gridCol w:w="1360"/>
        <w:gridCol w:w="1476"/>
        <w:gridCol w:w="1271"/>
        <w:gridCol w:w="1330"/>
      </w:tblGrid>
      <w:tr w:rsidR="005934B2" w:rsidRPr="006C4976" w:rsidTr="000366C5">
        <w:trPr>
          <w:trHeight w:val="1380"/>
        </w:trPr>
        <w:tc>
          <w:tcPr>
            <w:tcW w:w="1843"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F25873" w:rsidRDefault="005934B2" w:rsidP="000366C5">
            <w:pPr>
              <w:jc w:val="left"/>
              <w:rPr>
                <w:rFonts w:ascii="Calibri" w:hAnsi="Calibri"/>
                <w:b/>
                <w:bCs/>
                <w:color w:val="auto"/>
                <w:sz w:val="16"/>
                <w:szCs w:val="16"/>
              </w:rPr>
            </w:pPr>
            <w:r w:rsidRPr="00F25873">
              <w:rPr>
                <w:rFonts w:ascii="Calibri" w:hAnsi="Calibri"/>
                <w:b/>
                <w:bCs/>
                <w:color w:val="auto"/>
                <w:sz w:val="16"/>
                <w:szCs w:val="16"/>
              </w:rPr>
              <w:t xml:space="preserve">   Finansijski posrednik</w:t>
            </w:r>
          </w:p>
        </w:tc>
        <w:tc>
          <w:tcPr>
            <w:tcW w:w="1651" w:type="dxa"/>
            <w:tcBorders>
              <w:top w:val="single" w:sz="4" w:space="0" w:color="auto"/>
              <w:left w:val="nil"/>
              <w:bottom w:val="single" w:sz="4" w:space="0" w:color="auto"/>
              <w:right w:val="single" w:sz="4" w:space="0" w:color="auto"/>
            </w:tcBorders>
            <w:shd w:val="clear" w:color="000000" w:fill="8DB4E2"/>
            <w:vAlign w:val="center"/>
            <w:hideMark/>
          </w:tcPr>
          <w:p w:rsidR="005934B2" w:rsidRPr="00F25873" w:rsidRDefault="005934B2" w:rsidP="000366C5">
            <w:pPr>
              <w:jc w:val="center"/>
              <w:rPr>
                <w:rFonts w:ascii="Calibri" w:hAnsi="Calibri"/>
                <w:b/>
                <w:bCs/>
                <w:color w:val="auto"/>
                <w:sz w:val="16"/>
                <w:szCs w:val="16"/>
              </w:rPr>
            </w:pPr>
            <w:r w:rsidRPr="00F25873">
              <w:rPr>
                <w:rFonts w:ascii="Calibri" w:hAnsi="Calibri"/>
                <w:b/>
                <w:bCs/>
                <w:color w:val="auto"/>
                <w:sz w:val="16"/>
                <w:szCs w:val="16"/>
              </w:rPr>
              <w:t>Stanje pojedinačnih garancija na dan 31.12.2024.</w:t>
            </w:r>
          </w:p>
        </w:tc>
        <w:tc>
          <w:tcPr>
            <w:tcW w:w="1360" w:type="dxa"/>
            <w:tcBorders>
              <w:top w:val="single" w:sz="4" w:space="0" w:color="auto"/>
              <w:left w:val="nil"/>
              <w:bottom w:val="single" w:sz="4" w:space="0" w:color="auto"/>
              <w:right w:val="single" w:sz="4" w:space="0" w:color="auto"/>
            </w:tcBorders>
            <w:shd w:val="clear" w:color="000000" w:fill="8DB4E2"/>
            <w:vAlign w:val="center"/>
            <w:hideMark/>
          </w:tcPr>
          <w:p w:rsidR="005934B2" w:rsidRPr="00F25873" w:rsidRDefault="005934B2" w:rsidP="000366C5">
            <w:pPr>
              <w:jc w:val="center"/>
              <w:rPr>
                <w:rFonts w:ascii="Calibri" w:hAnsi="Calibri"/>
                <w:b/>
                <w:bCs/>
                <w:color w:val="auto"/>
                <w:sz w:val="16"/>
                <w:szCs w:val="16"/>
              </w:rPr>
            </w:pPr>
            <w:r w:rsidRPr="00F25873">
              <w:rPr>
                <w:rFonts w:ascii="Calibri" w:hAnsi="Calibri"/>
                <w:b/>
                <w:bCs/>
                <w:color w:val="auto"/>
                <w:sz w:val="16"/>
                <w:szCs w:val="16"/>
              </w:rPr>
              <w:t>Stanje garancija iz kreditnog portfelja na dan 31.12.2024.</w:t>
            </w:r>
          </w:p>
        </w:tc>
        <w:tc>
          <w:tcPr>
            <w:tcW w:w="1476" w:type="dxa"/>
            <w:tcBorders>
              <w:top w:val="single" w:sz="4" w:space="0" w:color="auto"/>
              <w:left w:val="nil"/>
              <w:bottom w:val="single" w:sz="4" w:space="0" w:color="auto"/>
              <w:right w:val="single" w:sz="4" w:space="0" w:color="auto"/>
            </w:tcBorders>
            <w:shd w:val="clear" w:color="000000" w:fill="8DB4E2"/>
            <w:vAlign w:val="center"/>
            <w:hideMark/>
          </w:tcPr>
          <w:p w:rsidR="005934B2" w:rsidRPr="00F25873" w:rsidRDefault="005934B2" w:rsidP="000366C5">
            <w:pPr>
              <w:jc w:val="center"/>
              <w:rPr>
                <w:rFonts w:ascii="Calibri" w:hAnsi="Calibri"/>
                <w:b/>
                <w:bCs/>
                <w:color w:val="auto"/>
                <w:sz w:val="16"/>
                <w:szCs w:val="16"/>
              </w:rPr>
            </w:pPr>
            <w:r w:rsidRPr="00F25873">
              <w:rPr>
                <w:rFonts w:ascii="Calibri" w:hAnsi="Calibri"/>
                <w:b/>
                <w:bCs/>
                <w:color w:val="auto"/>
                <w:sz w:val="16"/>
                <w:szCs w:val="16"/>
              </w:rPr>
              <w:t>Stanje garancija na hartije od vrijednosti na dan 31.12.2024. godine</w:t>
            </w:r>
          </w:p>
        </w:tc>
        <w:tc>
          <w:tcPr>
            <w:tcW w:w="1271" w:type="dxa"/>
            <w:tcBorders>
              <w:top w:val="single" w:sz="4" w:space="0" w:color="auto"/>
              <w:left w:val="nil"/>
              <w:bottom w:val="single" w:sz="4" w:space="0" w:color="auto"/>
              <w:right w:val="single" w:sz="4" w:space="0" w:color="auto"/>
            </w:tcBorders>
            <w:shd w:val="clear" w:color="000000" w:fill="8DB4E2"/>
            <w:vAlign w:val="center"/>
            <w:hideMark/>
          </w:tcPr>
          <w:p w:rsidR="005934B2" w:rsidRPr="00F25873" w:rsidRDefault="005934B2" w:rsidP="000366C5">
            <w:pPr>
              <w:jc w:val="center"/>
              <w:rPr>
                <w:rFonts w:ascii="Calibri" w:hAnsi="Calibri"/>
                <w:b/>
                <w:bCs/>
                <w:color w:val="auto"/>
                <w:sz w:val="16"/>
                <w:szCs w:val="16"/>
              </w:rPr>
            </w:pPr>
            <w:r w:rsidRPr="00F25873">
              <w:rPr>
                <w:rFonts w:ascii="Calibri" w:hAnsi="Calibri"/>
                <w:b/>
                <w:bCs/>
                <w:color w:val="auto"/>
                <w:sz w:val="16"/>
                <w:szCs w:val="16"/>
              </w:rPr>
              <w:t xml:space="preserve">Ukupna izloženost prema finansijskom posredniku </w:t>
            </w:r>
          </w:p>
        </w:tc>
        <w:tc>
          <w:tcPr>
            <w:tcW w:w="1330" w:type="dxa"/>
            <w:tcBorders>
              <w:top w:val="single" w:sz="4" w:space="0" w:color="auto"/>
              <w:left w:val="nil"/>
              <w:bottom w:val="single" w:sz="4" w:space="0" w:color="auto"/>
              <w:right w:val="single" w:sz="4" w:space="0" w:color="auto"/>
            </w:tcBorders>
            <w:shd w:val="clear" w:color="000000" w:fill="8DB4E2"/>
            <w:vAlign w:val="center"/>
            <w:hideMark/>
          </w:tcPr>
          <w:p w:rsidR="005934B2" w:rsidRPr="00F25873" w:rsidRDefault="005934B2" w:rsidP="000366C5">
            <w:pPr>
              <w:jc w:val="left"/>
              <w:rPr>
                <w:rFonts w:ascii="Calibri" w:hAnsi="Calibri"/>
                <w:b/>
                <w:bCs/>
                <w:color w:val="auto"/>
                <w:sz w:val="16"/>
                <w:szCs w:val="16"/>
              </w:rPr>
            </w:pPr>
            <w:r w:rsidRPr="00F25873">
              <w:rPr>
                <w:rFonts w:ascii="Calibri" w:hAnsi="Calibri"/>
                <w:b/>
                <w:bCs/>
                <w:color w:val="auto"/>
                <w:sz w:val="16"/>
                <w:szCs w:val="16"/>
              </w:rPr>
              <w:t>Stopa izloženosti u odnosu na maksimalno dozvoljenu izloženost (30% garantnog potencijala ili 27.000.000,00 KM)</w:t>
            </w:r>
          </w:p>
        </w:tc>
      </w:tr>
      <w:tr w:rsidR="005934B2" w:rsidRPr="00F25873" w:rsidTr="000366C5">
        <w:trPr>
          <w:trHeight w:val="57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 xml:space="preserve">Procredit bank d.d. Bosna i Hercegovina  </w:t>
            </w:r>
          </w:p>
        </w:tc>
        <w:tc>
          <w:tcPr>
            <w:tcW w:w="165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lang w:val="sr-Cyrl-RS"/>
              </w:rPr>
              <w:t>2.226.005,84</w:t>
            </w:r>
          </w:p>
        </w:tc>
        <w:tc>
          <w:tcPr>
            <w:tcW w:w="1360"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sz w:val="16"/>
                <w:szCs w:val="16"/>
              </w:rPr>
            </w:pPr>
            <w:r w:rsidRPr="00F25873">
              <w:rPr>
                <w:rFonts w:ascii="Calibri" w:hAnsi="Calibri"/>
                <w:sz w:val="16"/>
                <w:szCs w:val="16"/>
              </w:rPr>
              <w:t>7.498.288,38</w:t>
            </w:r>
          </w:p>
        </w:tc>
        <w:tc>
          <w:tcPr>
            <w:tcW w:w="1476"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9.724.294,22</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36,02%</w:t>
            </w:r>
          </w:p>
        </w:tc>
      </w:tr>
      <w:tr w:rsidR="005934B2" w:rsidRPr="00F25873" w:rsidTr="000366C5">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 xml:space="preserve">MF banka a.d. Banja Luka  </w:t>
            </w:r>
          </w:p>
        </w:tc>
        <w:tc>
          <w:tcPr>
            <w:tcW w:w="1651" w:type="dxa"/>
            <w:tcBorders>
              <w:top w:val="nil"/>
              <w:left w:val="nil"/>
              <w:bottom w:val="single" w:sz="8" w:space="0" w:color="auto"/>
              <w:right w:val="single" w:sz="8"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lang w:val="sr-Cyrl-RS"/>
              </w:rPr>
              <w:t>4.928.478,82</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sz w:val="16"/>
                <w:szCs w:val="16"/>
              </w:rPr>
            </w:pPr>
            <w:r w:rsidRPr="00F25873">
              <w:rPr>
                <w:rFonts w:ascii="Calibri" w:hAnsi="Calibri"/>
                <w:sz w:val="16"/>
                <w:szCs w:val="16"/>
              </w:rPr>
              <w:t>343.182,44</w:t>
            </w:r>
          </w:p>
        </w:tc>
        <w:tc>
          <w:tcPr>
            <w:tcW w:w="1476"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5.271.661,26</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19,52%</w:t>
            </w:r>
          </w:p>
        </w:tc>
      </w:tr>
      <w:tr w:rsidR="005934B2" w:rsidRPr="00F25873" w:rsidTr="000366C5">
        <w:trPr>
          <w:trHeight w:val="48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Unicredit bank a.d. Banja Luka</w:t>
            </w:r>
          </w:p>
        </w:tc>
        <w:tc>
          <w:tcPr>
            <w:tcW w:w="1651" w:type="dxa"/>
            <w:tcBorders>
              <w:top w:val="single" w:sz="4" w:space="0" w:color="auto"/>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506.999,13</w:t>
            </w:r>
          </w:p>
        </w:tc>
        <w:tc>
          <w:tcPr>
            <w:tcW w:w="1360"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sz w:val="16"/>
                <w:szCs w:val="16"/>
              </w:rPr>
            </w:pPr>
            <w:r w:rsidRPr="00F25873">
              <w:rPr>
                <w:rFonts w:ascii="Calibri" w:hAnsi="Calibri"/>
                <w:sz w:val="16"/>
                <w:szCs w:val="16"/>
              </w:rPr>
              <w:t>2.830.608,42</w:t>
            </w:r>
          </w:p>
        </w:tc>
        <w:tc>
          <w:tcPr>
            <w:tcW w:w="1476"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3.337.607,55</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12,36%</w:t>
            </w:r>
          </w:p>
        </w:tc>
      </w:tr>
      <w:tr w:rsidR="005934B2" w:rsidRPr="00F25873" w:rsidTr="000366C5">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 xml:space="preserve">Nova banka a.d. Banja Luka </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2.180.521,53</w:t>
            </w:r>
          </w:p>
        </w:tc>
        <w:tc>
          <w:tcPr>
            <w:tcW w:w="1360" w:type="dxa"/>
            <w:tcBorders>
              <w:top w:val="nil"/>
              <w:left w:val="nil"/>
              <w:bottom w:val="single" w:sz="4" w:space="0" w:color="auto"/>
              <w:right w:val="single" w:sz="4" w:space="0" w:color="auto"/>
            </w:tcBorders>
            <w:shd w:val="clear" w:color="auto" w:fill="auto"/>
            <w:noWrap/>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2.180.521,53</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8,08%</w:t>
            </w:r>
          </w:p>
        </w:tc>
      </w:tr>
      <w:tr w:rsidR="005934B2" w:rsidRPr="00F25873" w:rsidTr="000366C5">
        <w:trPr>
          <w:trHeight w:val="48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Centralni registar hartija od vrijednosti a.d. Banja Luka</w:t>
            </w:r>
          </w:p>
        </w:tc>
        <w:tc>
          <w:tcPr>
            <w:tcW w:w="1651" w:type="dxa"/>
            <w:tcBorders>
              <w:top w:val="nil"/>
              <w:left w:val="nil"/>
              <w:bottom w:val="single" w:sz="4" w:space="0" w:color="auto"/>
              <w:right w:val="single" w:sz="4" w:space="0" w:color="auto"/>
            </w:tcBorders>
            <w:shd w:val="clear" w:color="auto" w:fill="auto"/>
            <w:noWrap/>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sz w:val="16"/>
                <w:szCs w:val="16"/>
              </w:rPr>
            </w:pPr>
            <w:r w:rsidRPr="00F25873">
              <w:rPr>
                <w:rFonts w:ascii="Calibri" w:hAnsi="Calibri"/>
                <w:sz w:val="16"/>
                <w:szCs w:val="16"/>
              </w:rPr>
              <w:t>2.110.707,10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2.110.707,10</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7,82%</w:t>
            </w:r>
          </w:p>
        </w:tc>
      </w:tr>
      <w:tr w:rsidR="005934B2" w:rsidRPr="00F25873" w:rsidTr="000366C5">
        <w:trPr>
          <w:trHeight w:val="443"/>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 xml:space="preserve">Sparkasse bank d.d. Bosna i Hercegovina  </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691.742,92</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691.742,92</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2,56%</w:t>
            </w:r>
          </w:p>
        </w:tc>
      </w:tr>
      <w:tr w:rsidR="005934B2" w:rsidRPr="006C4976" w:rsidTr="000366C5">
        <w:trPr>
          <w:trHeight w:val="54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Fond za razvoj i zapošljavanje RS a.d. Banja Luka</w:t>
            </w:r>
          </w:p>
        </w:tc>
        <w:tc>
          <w:tcPr>
            <w:tcW w:w="165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638.991,41</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638.991,41</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2,37%</w:t>
            </w:r>
          </w:p>
        </w:tc>
      </w:tr>
      <w:tr w:rsidR="005934B2" w:rsidRPr="00F25873" w:rsidTr="000366C5">
        <w:trPr>
          <w:trHeight w:val="465"/>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 xml:space="preserve">Banka poštanska štedionica a.d. Banja Luka  </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444.951,57</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444.951,57</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1,65%</w:t>
            </w:r>
          </w:p>
        </w:tc>
      </w:tr>
      <w:tr w:rsidR="005934B2" w:rsidRPr="00F25873" w:rsidTr="000366C5">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 xml:space="preserve">Atos bank a.d. Banja Luka  </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291.463,98</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291.463,98</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1,08%</w:t>
            </w:r>
          </w:p>
        </w:tc>
      </w:tr>
      <w:tr w:rsidR="005934B2" w:rsidRPr="00F25873" w:rsidTr="000366C5">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Naša banka a.d. Bijeljina</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49.702,33</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49.702,33</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0,18%</w:t>
            </w:r>
          </w:p>
        </w:tc>
      </w:tr>
      <w:tr w:rsidR="005934B2" w:rsidRPr="00F25873" w:rsidTr="000366C5">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NLB banka a.d. Banja Luka</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41.420,40</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41.420,40</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0,15%</w:t>
            </w:r>
          </w:p>
        </w:tc>
      </w:tr>
      <w:tr w:rsidR="005934B2" w:rsidRPr="00F25873" w:rsidTr="000366C5">
        <w:trPr>
          <w:trHeight w:val="330"/>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 xml:space="preserve">Ziraat Bank Bosnia d.d. Sarajevo  </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41.797,04</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41.797,04</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0,15%</w:t>
            </w:r>
          </w:p>
        </w:tc>
      </w:tr>
      <w:tr w:rsidR="005934B2" w:rsidRPr="00F25873" w:rsidTr="000366C5">
        <w:trPr>
          <w:trHeight w:val="315"/>
        </w:trPr>
        <w:tc>
          <w:tcPr>
            <w:tcW w:w="1843" w:type="dxa"/>
            <w:tcBorders>
              <w:top w:val="nil"/>
              <w:left w:val="single" w:sz="4" w:space="0" w:color="auto"/>
              <w:bottom w:val="single" w:sz="4" w:space="0" w:color="auto"/>
              <w:right w:val="single" w:sz="4" w:space="0" w:color="auto"/>
            </w:tcBorders>
            <w:shd w:val="clear" w:color="000000" w:fill="FFFFFF"/>
            <w:hideMark/>
          </w:tcPr>
          <w:p w:rsidR="005934B2" w:rsidRPr="00F25873" w:rsidRDefault="005934B2" w:rsidP="000366C5">
            <w:pPr>
              <w:jc w:val="left"/>
              <w:rPr>
                <w:rFonts w:ascii="Calibri" w:hAnsi="Calibri"/>
                <w:color w:val="auto"/>
                <w:sz w:val="16"/>
                <w:szCs w:val="16"/>
              </w:rPr>
            </w:pPr>
            <w:r w:rsidRPr="00F25873">
              <w:rPr>
                <w:rFonts w:ascii="Calibri" w:hAnsi="Calibri"/>
                <w:color w:val="auto"/>
                <w:sz w:val="16"/>
                <w:szCs w:val="16"/>
              </w:rPr>
              <w:t>MKD Taurus d.o.o. Banja Luka</w:t>
            </w:r>
          </w:p>
        </w:tc>
        <w:tc>
          <w:tcPr>
            <w:tcW w:w="1651" w:type="dxa"/>
            <w:tcBorders>
              <w:top w:val="nil"/>
              <w:left w:val="nil"/>
              <w:bottom w:val="single" w:sz="4" w:space="0" w:color="auto"/>
              <w:right w:val="single" w:sz="4" w:space="0" w:color="auto"/>
            </w:tcBorders>
            <w:shd w:val="clear" w:color="auto" w:fill="auto"/>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0,00</w:t>
            </w:r>
          </w:p>
        </w:tc>
        <w:tc>
          <w:tcPr>
            <w:tcW w:w="136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12.184,97</w:t>
            </w:r>
          </w:p>
        </w:tc>
        <w:tc>
          <w:tcPr>
            <w:tcW w:w="1476"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 </w:t>
            </w:r>
          </w:p>
        </w:tc>
        <w:tc>
          <w:tcPr>
            <w:tcW w:w="1271"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right"/>
              <w:rPr>
                <w:rFonts w:ascii="Calibri" w:hAnsi="Calibri"/>
                <w:color w:val="auto"/>
                <w:sz w:val="16"/>
                <w:szCs w:val="16"/>
              </w:rPr>
            </w:pPr>
            <w:r w:rsidRPr="00F25873">
              <w:rPr>
                <w:rFonts w:ascii="Calibri" w:hAnsi="Calibri"/>
                <w:color w:val="auto"/>
                <w:sz w:val="16"/>
                <w:szCs w:val="16"/>
              </w:rPr>
              <w:t>12.184,97</w:t>
            </w:r>
          </w:p>
        </w:tc>
        <w:tc>
          <w:tcPr>
            <w:tcW w:w="1330" w:type="dxa"/>
            <w:tcBorders>
              <w:top w:val="nil"/>
              <w:left w:val="nil"/>
              <w:bottom w:val="single" w:sz="4" w:space="0" w:color="auto"/>
              <w:right w:val="single" w:sz="4" w:space="0" w:color="auto"/>
            </w:tcBorders>
            <w:shd w:val="clear" w:color="000000" w:fill="FFFFFF"/>
            <w:vAlign w:val="center"/>
            <w:hideMark/>
          </w:tcPr>
          <w:p w:rsidR="005934B2" w:rsidRPr="00F25873" w:rsidRDefault="005934B2" w:rsidP="000366C5">
            <w:pPr>
              <w:jc w:val="center"/>
              <w:rPr>
                <w:rFonts w:ascii="Calibri" w:hAnsi="Calibri"/>
                <w:color w:val="auto"/>
                <w:sz w:val="16"/>
                <w:szCs w:val="16"/>
              </w:rPr>
            </w:pPr>
            <w:r w:rsidRPr="00F25873">
              <w:rPr>
                <w:rFonts w:ascii="Calibri" w:hAnsi="Calibri"/>
                <w:color w:val="auto"/>
                <w:sz w:val="16"/>
                <w:szCs w:val="16"/>
              </w:rPr>
              <w:t>0,05%</w:t>
            </w:r>
          </w:p>
        </w:tc>
      </w:tr>
      <w:tr w:rsidR="005934B2" w:rsidRPr="006C4976" w:rsidTr="000366C5">
        <w:trPr>
          <w:trHeight w:val="315"/>
        </w:trPr>
        <w:tc>
          <w:tcPr>
            <w:tcW w:w="1843" w:type="dxa"/>
            <w:tcBorders>
              <w:top w:val="nil"/>
              <w:left w:val="single" w:sz="4" w:space="0" w:color="auto"/>
              <w:bottom w:val="single" w:sz="4" w:space="0" w:color="auto"/>
              <w:right w:val="single" w:sz="4" w:space="0" w:color="auto"/>
            </w:tcBorders>
            <w:shd w:val="clear" w:color="000000" w:fill="8DB4E2"/>
            <w:vAlign w:val="center"/>
            <w:hideMark/>
          </w:tcPr>
          <w:p w:rsidR="005934B2" w:rsidRPr="00F25873" w:rsidRDefault="005934B2" w:rsidP="000366C5">
            <w:pPr>
              <w:jc w:val="center"/>
              <w:rPr>
                <w:rFonts w:ascii="Calibri" w:hAnsi="Calibri"/>
                <w:b/>
                <w:bCs/>
                <w:color w:val="auto"/>
                <w:sz w:val="16"/>
                <w:szCs w:val="16"/>
              </w:rPr>
            </w:pPr>
            <w:r w:rsidRPr="00F25873">
              <w:rPr>
                <w:rFonts w:ascii="Calibri" w:hAnsi="Calibri"/>
                <w:b/>
                <w:bCs/>
                <w:color w:val="auto"/>
                <w:sz w:val="16"/>
                <w:szCs w:val="16"/>
              </w:rPr>
              <w:t>UKUPNO</w:t>
            </w:r>
          </w:p>
        </w:tc>
        <w:tc>
          <w:tcPr>
            <w:tcW w:w="1651" w:type="dxa"/>
            <w:tcBorders>
              <w:top w:val="nil"/>
              <w:left w:val="nil"/>
              <w:bottom w:val="single" w:sz="4" w:space="0" w:color="auto"/>
              <w:right w:val="single" w:sz="4" w:space="0" w:color="auto"/>
            </w:tcBorders>
            <w:shd w:val="clear" w:color="000000" w:fill="8DB4E2"/>
            <w:vAlign w:val="center"/>
            <w:hideMark/>
          </w:tcPr>
          <w:p w:rsidR="005934B2" w:rsidRPr="00F25873" w:rsidRDefault="005934B2" w:rsidP="000366C5">
            <w:pPr>
              <w:jc w:val="right"/>
              <w:rPr>
                <w:rFonts w:ascii="Calibri" w:hAnsi="Calibri"/>
                <w:b/>
                <w:bCs/>
                <w:color w:val="auto"/>
                <w:sz w:val="16"/>
                <w:szCs w:val="16"/>
              </w:rPr>
            </w:pPr>
            <w:r w:rsidRPr="00F25873">
              <w:rPr>
                <w:rFonts w:ascii="Calibri" w:hAnsi="Calibri"/>
                <w:b/>
                <w:bCs/>
                <w:color w:val="auto"/>
                <w:sz w:val="16"/>
                <w:szCs w:val="16"/>
              </w:rPr>
              <w:t>11.350.332,05</w:t>
            </w:r>
          </w:p>
        </w:tc>
        <w:tc>
          <w:tcPr>
            <w:tcW w:w="1360" w:type="dxa"/>
            <w:tcBorders>
              <w:top w:val="nil"/>
              <w:left w:val="nil"/>
              <w:bottom w:val="single" w:sz="4" w:space="0" w:color="auto"/>
              <w:right w:val="single" w:sz="4" w:space="0" w:color="auto"/>
            </w:tcBorders>
            <w:shd w:val="clear" w:color="000000" w:fill="8DB4E2"/>
            <w:vAlign w:val="center"/>
            <w:hideMark/>
          </w:tcPr>
          <w:p w:rsidR="005934B2" w:rsidRPr="00F25873" w:rsidRDefault="005934B2" w:rsidP="000366C5">
            <w:pPr>
              <w:jc w:val="right"/>
              <w:rPr>
                <w:rFonts w:ascii="Calibri" w:hAnsi="Calibri"/>
                <w:b/>
                <w:bCs/>
                <w:color w:val="auto"/>
                <w:sz w:val="16"/>
                <w:szCs w:val="16"/>
              </w:rPr>
            </w:pPr>
            <w:r w:rsidRPr="00F25873">
              <w:rPr>
                <w:rFonts w:ascii="Calibri" w:hAnsi="Calibri"/>
                <w:b/>
                <w:bCs/>
                <w:color w:val="auto"/>
                <w:sz w:val="16"/>
                <w:szCs w:val="16"/>
              </w:rPr>
              <w:t>11.376.007,13</w:t>
            </w:r>
          </w:p>
        </w:tc>
        <w:tc>
          <w:tcPr>
            <w:tcW w:w="1476" w:type="dxa"/>
            <w:tcBorders>
              <w:top w:val="nil"/>
              <w:left w:val="nil"/>
              <w:bottom w:val="single" w:sz="4" w:space="0" w:color="auto"/>
              <w:right w:val="single" w:sz="4" w:space="0" w:color="auto"/>
            </w:tcBorders>
            <w:shd w:val="clear" w:color="000000" w:fill="8DB4E2"/>
            <w:vAlign w:val="center"/>
            <w:hideMark/>
          </w:tcPr>
          <w:p w:rsidR="005934B2" w:rsidRPr="00F25873" w:rsidRDefault="005934B2" w:rsidP="000366C5">
            <w:pPr>
              <w:jc w:val="right"/>
              <w:rPr>
                <w:rFonts w:ascii="Calibri" w:hAnsi="Calibri"/>
                <w:b/>
                <w:bCs/>
                <w:color w:val="auto"/>
                <w:sz w:val="16"/>
                <w:szCs w:val="16"/>
              </w:rPr>
            </w:pPr>
            <w:r w:rsidRPr="00F25873">
              <w:rPr>
                <w:rFonts w:ascii="Calibri" w:hAnsi="Calibri"/>
                <w:b/>
                <w:bCs/>
                <w:color w:val="auto"/>
                <w:sz w:val="16"/>
                <w:szCs w:val="16"/>
              </w:rPr>
              <w:t>2.110.707,10</w:t>
            </w:r>
          </w:p>
        </w:tc>
        <w:tc>
          <w:tcPr>
            <w:tcW w:w="1271" w:type="dxa"/>
            <w:tcBorders>
              <w:top w:val="nil"/>
              <w:left w:val="nil"/>
              <w:bottom w:val="single" w:sz="4" w:space="0" w:color="auto"/>
              <w:right w:val="single" w:sz="4" w:space="0" w:color="auto"/>
            </w:tcBorders>
            <w:shd w:val="clear" w:color="000000" w:fill="8DB4E2"/>
            <w:vAlign w:val="center"/>
            <w:hideMark/>
          </w:tcPr>
          <w:p w:rsidR="005934B2" w:rsidRPr="00F25873" w:rsidRDefault="005934B2" w:rsidP="000366C5">
            <w:pPr>
              <w:jc w:val="right"/>
              <w:rPr>
                <w:rFonts w:ascii="Calibri" w:hAnsi="Calibri"/>
                <w:b/>
                <w:bCs/>
                <w:color w:val="auto"/>
                <w:sz w:val="16"/>
                <w:szCs w:val="16"/>
              </w:rPr>
            </w:pPr>
            <w:r w:rsidRPr="00F25873">
              <w:rPr>
                <w:rFonts w:ascii="Calibri" w:hAnsi="Calibri"/>
                <w:b/>
                <w:bCs/>
                <w:color w:val="auto"/>
                <w:sz w:val="16"/>
                <w:szCs w:val="16"/>
              </w:rPr>
              <w:t>24.837.046,28</w:t>
            </w:r>
          </w:p>
        </w:tc>
        <w:tc>
          <w:tcPr>
            <w:tcW w:w="1330" w:type="dxa"/>
            <w:tcBorders>
              <w:top w:val="nil"/>
              <w:left w:val="nil"/>
              <w:bottom w:val="single" w:sz="4" w:space="0" w:color="auto"/>
              <w:right w:val="single" w:sz="4" w:space="0" w:color="auto"/>
            </w:tcBorders>
            <w:shd w:val="clear" w:color="000000" w:fill="8DB4E2"/>
            <w:vAlign w:val="center"/>
            <w:hideMark/>
          </w:tcPr>
          <w:p w:rsidR="005934B2" w:rsidRPr="00F25873" w:rsidRDefault="005934B2" w:rsidP="000366C5">
            <w:pPr>
              <w:jc w:val="center"/>
              <w:rPr>
                <w:rFonts w:ascii="Calibri" w:hAnsi="Calibri"/>
                <w:b/>
                <w:bCs/>
                <w:color w:val="auto"/>
                <w:sz w:val="16"/>
                <w:szCs w:val="16"/>
              </w:rPr>
            </w:pPr>
            <w:r w:rsidRPr="00F25873">
              <w:rPr>
                <w:rFonts w:ascii="Calibri" w:hAnsi="Calibri"/>
                <w:b/>
                <w:bCs/>
                <w:color w:val="auto"/>
                <w:sz w:val="16"/>
                <w:szCs w:val="16"/>
              </w:rPr>
              <w:t> </w:t>
            </w:r>
          </w:p>
        </w:tc>
      </w:tr>
    </w:tbl>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Potencijalna obaveza Gara</w:t>
      </w:r>
      <w:r w:rsidRPr="00881C61">
        <w:rPr>
          <w:rFonts w:asciiTheme="minorHAnsi" w:eastAsiaTheme="minorHAnsi" w:hAnsiTheme="minorHAnsi"/>
          <w:color w:val="auto"/>
          <w:sz w:val="20"/>
          <w:szCs w:val="20"/>
          <w:lang w:val="sr-Cyrl-BA" w:eastAsia="en-US"/>
        </w:rPr>
        <w:t>nt</w:t>
      </w:r>
      <w:r>
        <w:rPr>
          <w:rFonts w:asciiTheme="minorHAnsi" w:eastAsiaTheme="minorHAnsi" w:hAnsiTheme="minorHAnsi"/>
          <w:color w:val="auto"/>
          <w:sz w:val="20"/>
          <w:szCs w:val="20"/>
          <w:lang w:val="sr-Cyrl-BA" w:eastAsia="en-US"/>
        </w:rPr>
        <w:t>n</w:t>
      </w:r>
      <w:r w:rsidRPr="00881C61">
        <w:rPr>
          <w:rFonts w:asciiTheme="minorHAnsi" w:eastAsiaTheme="minorHAnsi" w:hAnsiTheme="minorHAnsi"/>
          <w:color w:val="auto"/>
          <w:sz w:val="20"/>
          <w:szCs w:val="20"/>
          <w:lang w:val="sr-Cyrl-BA" w:eastAsia="en-US"/>
        </w:rPr>
        <w:t xml:space="preserve">og fonda na dan 31.12.2024. godine iznosi </w:t>
      </w:r>
      <w:r w:rsidRPr="00724D24">
        <w:rPr>
          <w:rFonts w:asciiTheme="minorHAnsi" w:eastAsiaTheme="minorHAnsi" w:hAnsiTheme="minorHAnsi"/>
          <w:b/>
          <w:color w:val="auto"/>
          <w:sz w:val="20"/>
          <w:szCs w:val="20"/>
          <w:lang w:val="sr-Cyrl-BA" w:eastAsia="en-US"/>
        </w:rPr>
        <w:t>24.837.046,28 KM</w:t>
      </w:r>
      <w:r w:rsidRPr="00881C61">
        <w:rPr>
          <w:rFonts w:asciiTheme="minorHAnsi" w:eastAsiaTheme="minorHAnsi" w:hAnsiTheme="minorHAnsi"/>
          <w:color w:val="auto"/>
          <w:sz w:val="20"/>
          <w:szCs w:val="20"/>
          <w:lang w:val="sr-Cyrl-BA" w:eastAsia="en-US"/>
        </w:rPr>
        <w:t xml:space="preserve">.  Najveća je izloženost Fonda prema finansijskim posrednicima po osnovu 236 aktivnih garancija iz kreditnog portfelja </w:t>
      </w:r>
      <w:r>
        <w:rPr>
          <w:rFonts w:asciiTheme="minorHAnsi" w:eastAsiaTheme="minorHAnsi" w:hAnsiTheme="minorHAnsi"/>
          <w:color w:val="auto"/>
          <w:sz w:val="20"/>
          <w:szCs w:val="20"/>
          <w:lang w:val="sr-Cyrl-BA" w:eastAsia="en-US"/>
        </w:rPr>
        <w:t xml:space="preserve">i </w:t>
      </w:r>
      <w:r w:rsidRPr="00881C61">
        <w:rPr>
          <w:rFonts w:asciiTheme="minorHAnsi" w:eastAsiaTheme="minorHAnsi" w:hAnsiTheme="minorHAnsi"/>
          <w:color w:val="auto"/>
          <w:sz w:val="20"/>
          <w:szCs w:val="20"/>
          <w:lang w:val="sr-Cyrl-BA" w:eastAsia="en-US"/>
        </w:rPr>
        <w:t xml:space="preserve">iznosi </w:t>
      </w:r>
      <w:r w:rsidRPr="00EE5F06">
        <w:rPr>
          <w:rFonts w:ascii="Calibri" w:hAnsi="Calibri"/>
          <w:bCs/>
          <w:color w:val="auto"/>
          <w:sz w:val="20"/>
          <w:szCs w:val="20"/>
          <w:lang w:val="sr-Latn-RS"/>
        </w:rPr>
        <w:t>11.</w:t>
      </w:r>
      <w:r>
        <w:rPr>
          <w:rFonts w:ascii="Calibri" w:hAnsi="Calibri"/>
          <w:bCs/>
          <w:color w:val="auto"/>
          <w:sz w:val="20"/>
          <w:szCs w:val="20"/>
          <w:lang w:val="sr-Cyrl-RS"/>
        </w:rPr>
        <w:t xml:space="preserve">376.007,13 </w:t>
      </w:r>
      <w:r>
        <w:rPr>
          <w:rFonts w:asciiTheme="minorHAnsi" w:eastAsiaTheme="minorHAnsi" w:hAnsiTheme="minorHAnsi"/>
          <w:color w:val="auto"/>
          <w:sz w:val="20"/>
          <w:szCs w:val="20"/>
          <w:lang w:val="sr-Cyrl-BA" w:eastAsia="en-US"/>
        </w:rPr>
        <w:t>KM.</w:t>
      </w:r>
      <w:r w:rsidRPr="00881C61">
        <w:rPr>
          <w:rFonts w:asciiTheme="minorHAnsi" w:eastAsiaTheme="minorHAnsi" w:hAnsiTheme="minorHAnsi"/>
          <w:color w:val="auto"/>
          <w:sz w:val="20"/>
          <w:szCs w:val="20"/>
          <w:lang w:val="sr-Cyrl-BA" w:eastAsia="en-US"/>
        </w:rPr>
        <w:t xml:space="preserve"> Izloženost po osnovu 6</w:t>
      </w:r>
      <w:r>
        <w:rPr>
          <w:rFonts w:asciiTheme="minorHAnsi" w:eastAsiaTheme="minorHAnsi" w:hAnsiTheme="minorHAnsi"/>
          <w:color w:val="auto"/>
          <w:sz w:val="20"/>
          <w:szCs w:val="20"/>
          <w:lang w:val="sr-Cyrl-BA" w:eastAsia="en-US"/>
        </w:rPr>
        <w:t>0 aktivnih pojedinačnih</w:t>
      </w:r>
      <w:r w:rsidRPr="00881C61">
        <w:rPr>
          <w:rFonts w:asciiTheme="minorHAnsi" w:eastAsiaTheme="minorHAnsi" w:hAnsiTheme="minorHAnsi"/>
          <w:color w:val="auto"/>
          <w:sz w:val="20"/>
          <w:szCs w:val="20"/>
          <w:lang w:val="sr-Cyrl-BA" w:eastAsia="en-US"/>
        </w:rPr>
        <w:t xml:space="preserve"> garancija</w:t>
      </w:r>
      <w:r>
        <w:rPr>
          <w:rFonts w:asciiTheme="minorHAnsi" w:eastAsiaTheme="minorHAnsi" w:hAnsiTheme="minorHAnsi"/>
          <w:color w:val="auto"/>
          <w:sz w:val="20"/>
          <w:szCs w:val="20"/>
          <w:lang w:val="sr-Cyrl-BA" w:eastAsia="en-US"/>
        </w:rPr>
        <w:t xml:space="preserve"> je na približno istom nivou i</w:t>
      </w:r>
      <w:r w:rsidRPr="00881C61">
        <w:rPr>
          <w:rFonts w:asciiTheme="minorHAnsi" w:eastAsiaTheme="minorHAnsi" w:hAnsiTheme="minorHAnsi"/>
          <w:color w:val="auto"/>
          <w:sz w:val="20"/>
          <w:szCs w:val="20"/>
          <w:lang w:val="sr-Cyrl-BA" w:eastAsia="en-US"/>
        </w:rPr>
        <w:t xml:space="preserve"> iznosi 11.</w:t>
      </w:r>
      <w:r>
        <w:rPr>
          <w:rFonts w:asciiTheme="minorHAnsi" w:eastAsiaTheme="minorHAnsi" w:hAnsiTheme="minorHAnsi"/>
          <w:color w:val="auto"/>
          <w:sz w:val="20"/>
          <w:szCs w:val="20"/>
          <w:lang w:val="sr-Cyrl-BA" w:eastAsia="en-US"/>
        </w:rPr>
        <w:t xml:space="preserve">350.332,05 KM. </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Najmanja je izloženost Fonda po osnovu garancija na emitovane hartije od vrijednosti i ona na dan 31.12.2024. godine iznosi 2.110.707,10 KM, a odnosi se na potencijalnu obavezu prema Centralnom registru hartija od vrijednosti a.d. Banja Luka, koji ima ulogu platnog agenta i nastupa u ime i za račun vlasnika obveznica.</w:t>
      </w:r>
    </w:p>
    <w:p w:rsidR="005934B2" w:rsidRPr="00572EC5"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Opšti zaključak je da je i</w:t>
      </w:r>
      <w:r w:rsidRPr="00572EC5">
        <w:rPr>
          <w:rFonts w:asciiTheme="minorHAnsi" w:eastAsiaTheme="minorHAnsi" w:hAnsiTheme="minorHAnsi"/>
          <w:color w:val="auto"/>
          <w:sz w:val="20"/>
          <w:szCs w:val="20"/>
          <w:lang w:val="sr-Cyrl-BA" w:eastAsia="en-US"/>
        </w:rPr>
        <w:t>zloženost Fonda na dan 31.12.202</w:t>
      </w:r>
      <w:r>
        <w:rPr>
          <w:rFonts w:asciiTheme="minorHAnsi" w:eastAsiaTheme="minorHAnsi" w:hAnsiTheme="minorHAnsi"/>
          <w:color w:val="auto"/>
          <w:sz w:val="20"/>
          <w:szCs w:val="20"/>
          <w:lang w:val="sr-Cyrl-BA" w:eastAsia="en-US"/>
        </w:rPr>
        <w:t>4</w:t>
      </w:r>
      <w:r w:rsidRPr="00572EC5">
        <w:rPr>
          <w:rFonts w:asciiTheme="minorHAnsi" w:eastAsiaTheme="minorHAnsi" w:hAnsiTheme="minorHAnsi"/>
          <w:color w:val="auto"/>
          <w:sz w:val="20"/>
          <w:szCs w:val="20"/>
          <w:lang w:val="sr-Cyrl-BA" w:eastAsia="en-US"/>
        </w:rPr>
        <w:t xml:space="preserve">. godine </w:t>
      </w:r>
      <w:r>
        <w:rPr>
          <w:rFonts w:asciiTheme="minorHAnsi" w:eastAsiaTheme="minorHAnsi" w:hAnsiTheme="minorHAnsi"/>
          <w:color w:val="auto"/>
          <w:sz w:val="20"/>
          <w:szCs w:val="20"/>
          <w:lang w:val="sr-Cyrl-BA" w:eastAsia="en-US"/>
        </w:rPr>
        <w:t>prema svim finansijskim posrednicima</w:t>
      </w:r>
      <w:r w:rsidRPr="00572EC5">
        <w:rPr>
          <w:rFonts w:asciiTheme="minorHAnsi" w:eastAsiaTheme="minorHAnsi" w:hAnsiTheme="minorHAnsi"/>
          <w:color w:val="auto"/>
          <w:sz w:val="20"/>
          <w:szCs w:val="20"/>
          <w:lang w:val="sr-Cyrl-BA" w:eastAsia="en-US"/>
        </w:rPr>
        <w:t xml:space="preserve"> sa kojima Fond ima potpisane ugovore o poslovno-tehničk</w:t>
      </w:r>
      <w:r>
        <w:rPr>
          <w:rFonts w:asciiTheme="minorHAnsi" w:eastAsiaTheme="minorHAnsi" w:hAnsiTheme="minorHAnsi"/>
          <w:color w:val="auto"/>
          <w:sz w:val="20"/>
          <w:szCs w:val="20"/>
          <w:lang w:val="sr-Cyrl-BA" w:eastAsia="en-US"/>
        </w:rPr>
        <w:t xml:space="preserve">oj saradnji </w:t>
      </w:r>
      <w:r w:rsidRPr="00572EC5">
        <w:rPr>
          <w:rFonts w:asciiTheme="minorHAnsi" w:eastAsiaTheme="minorHAnsi" w:hAnsiTheme="minorHAnsi"/>
          <w:color w:val="auto"/>
          <w:sz w:val="20"/>
          <w:szCs w:val="20"/>
          <w:lang w:val="sr-Cyrl-BA" w:eastAsia="en-US"/>
        </w:rPr>
        <w:t>značajno ispod ograničenja iz člana 14</w:t>
      </w:r>
      <w:r>
        <w:rPr>
          <w:rFonts w:asciiTheme="minorHAnsi" w:eastAsiaTheme="minorHAnsi" w:hAnsiTheme="minorHAnsi"/>
          <w:color w:val="auto"/>
          <w:sz w:val="20"/>
          <w:szCs w:val="20"/>
          <w:lang w:val="sr-Cyrl-BA" w:eastAsia="en-US"/>
        </w:rPr>
        <w:t>,</w:t>
      </w:r>
      <w:r w:rsidRPr="00572EC5">
        <w:rPr>
          <w:rFonts w:asciiTheme="minorHAnsi" w:eastAsiaTheme="minorHAnsi" w:hAnsiTheme="minorHAnsi"/>
          <w:color w:val="auto"/>
          <w:sz w:val="20"/>
          <w:szCs w:val="20"/>
          <w:lang w:val="sr-Cyrl-BA" w:eastAsia="en-US"/>
        </w:rPr>
        <w:t xml:space="preserve"> stav 3 Zakona o Garantnom</w:t>
      </w:r>
      <w:r>
        <w:rPr>
          <w:rFonts w:asciiTheme="minorHAnsi" w:eastAsiaTheme="minorHAnsi" w:hAnsiTheme="minorHAnsi"/>
          <w:color w:val="auto"/>
          <w:sz w:val="20"/>
          <w:szCs w:val="20"/>
          <w:lang w:val="sr-Cyrl-BA" w:eastAsia="en-US"/>
        </w:rPr>
        <w:t xml:space="preserve"> fondu Republike Srpske.</w:t>
      </w: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Default="005934B2" w:rsidP="00A401F8">
      <w:pPr>
        <w:autoSpaceDE w:val="0"/>
        <w:autoSpaceDN w:val="0"/>
        <w:adjustRightInd w:val="0"/>
        <w:rPr>
          <w:rFonts w:asciiTheme="minorHAnsi" w:eastAsiaTheme="minorHAnsi" w:hAnsiTheme="minorHAnsi"/>
          <w:color w:val="auto"/>
          <w:sz w:val="20"/>
          <w:szCs w:val="20"/>
          <w:lang w:val="sr-Cyrl-BA" w:eastAsia="en-US"/>
        </w:rPr>
      </w:pPr>
    </w:p>
    <w:p w:rsidR="005934B2" w:rsidRPr="005767EF" w:rsidRDefault="005934B2" w:rsidP="00A401F8">
      <w:pPr>
        <w:rPr>
          <w:rFonts w:asciiTheme="minorHAnsi" w:hAnsiTheme="minorHAnsi"/>
          <w:sz w:val="20"/>
          <w:szCs w:val="20"/>
          <w:lang w:val="sr-Cyrl-BA"/>
        </w:rPr>
      </w:pPr>
    </w:p>
    <w:p w:rsidR="005934B2" w:rsidRPr="006B0FF2" w:rsidRDefault="005934B2" w:rsidP="00A401F8">
      <w:pPr>
        <w:pStyle w:val="Heading2"/>
        <w:numPr>
          <w:ilvl w:val="0"/>
          <w:numId w:val="0"/>
        </w:numPr>
        <w:ind w:left="576" w:hanging="576"/>
        <w:rPr>
          <w:rFonts w:asciiTheme="minorHAnsi" w:hAnsiTheme="minorHAnsi"/>
          <w:caps/>
          <w:color w:val="00B050"/>
          <w:szCs w:val="20"/>
          <w:lang w:val="sr-Latn-RS" w:eastAsia="en-US"/>
        </w:rPr>
      </w:pPr>
      <w:bookmarkStart w:id="10" w:name="_Toc135292173"/>
      <w:r w:rsidRPr="008B5A35">
        <w:rPr>
          <w:rFonts w:asciiTheme="minorHAnsi" w:hAnsiTheme="minorHAnsi"/>
          <w:caps/>
          <w:color w:val="000000" w:themeColor="text1"/>
          <w:szCs w:val="20"/>
          <w:lang w:val="sr-Cyrl-RS"/>
        </w:rPr>
        <w:t xml:space="preserve">2.5. </w:t>
      </w:r>
      <w:r>
        <w:rPr>
          <w:rFonts w:asciiTheme="minorHAnsi" w:hAnsiTheme="minorHAnsi"/>
          <w:caps/>
          <w:color w:val="000000" w:themeColor="text1"/>
          <w:szCs w:val="20"/>
        </w:rPr>
        <w:t xml:space="preserve">analiza </w:t>
      </w:r>
      <w:r w:rsidRPr="008B5A35">
        <w:rPr>
          <w:rFonts w:asciiTheme="minorHAnsi" w:hAnsiTheme="minorHAnsi"/>
          <w:caps/>
          <w:color w:val="000000" w:themeColor="text1"/>
          <w:szCs w:val="20"/>
        </w:rPr>
        <w:t xml:space="preserve"> garancija iz </w:t>
      </w:r>
      <w:r w:rsidRPr="008B5A35">
        <w:rPr>
          <w:rFonts w:asciiTheme="minorHAnsi" w:hAnsiTheme="minorHAnsi"/>
          <w:caps/>
          <w:color w:val="000000" w:themeColor="text1"/>
          <w:szCs w:val="20"/>
          <w:lang w:val="sr-Cyrl-RS"/>
        </w:rPr>
        <w:t xml:space="preserve">GARANTNOG </w:t>
      </w:r>
      <w:r w:rsidRPr="008B5A35">
        <w:rPr>
          <w:rFonts w:asciiTheme="minorHAnsi" w:hAnsiTheme="minorHAnsi"/>
          <w:caps/>
          <w:color w:val="000000" w:themeColor="text1"/>
          <w:szCs w:val="20"/>
        </w:rPr>
        <w:t xml:space="preserve">programa </w:t>
      </w:r>
      <w:r w:rsidRPr="008B5A35">
        <w:rPr>
          <w:rFonts w:asciiTheme="minorHAnsi" w:hAnsiTheme="minorHAnsi"/>
          <w:caps/>
          <w:color w:val="000000" w:themeColor="text1"/>
          <w:szCs w:val="20"/>
          <w:lang w:val="sr-Cyrl-BA"/>
        </w:rPr>
        <w:t>COVID-19 na dan 31.12.2024. godine</w:t>
      </w:r>
      <w:bookmarkEnd w:id="10"/>
    </w:p>
    <w:p w:rsidR="005934B2" w:rsidRPr="001C27A1" w:rsidRDefault="005934B2" w:rsidP="00A401F8">
      <w:pPr>
        <w:jc w:val="left"/>
        <w:rPr>
          <w:rFonts w:asciiTheme="minorHAnsi" w:hAnsiTheme="minorHAnsi"/>
          <w:sz w:val="20"/>
          <w:szCs w:val="20"/>
          <w:lang w:val="sr-Cyrl-BA"/>
        </w:rPr>
      </w:pPr>
    </w:p>
    <w:p w:rsidR="005934B2" w:rsidRDefault="005934B2" w:rsidP="00A401F8">
      <w:pPr>
        <w:autoSpaceDE w:val="0"/>
        <w:autoSpaceDN w:val="0"/>
        <w:adjustRightInd w:val="0"/>
        <w:rPr>
          <w:rFonts w:asciiTheme="minorHAnsi" w:hAnsiTheme="minorHAnsi"/>
          <w:noProof/>
          <w:color w:val="auto"/>
          <w:sz w:val="20"/>
          <w:szCs w:val="20"/>
          <w:lang w:val="sr-Cyrl-RS"/>
        </w:rPr>
      </w:pPr>
      <w:r w:rsidRPr="001C27A1">
        <w:rPr>
          <w:rFonts w:asciiTheme="minorHAnsi" w:hAnsiTheme="minorHAnsi"/>
          <w:noProof/>
          <w:color w:val="auto"/>
          <w:sz w:val="20"/>
          <w:szCs w:val="20"/>
          <w:lang w:val="sr-Cyrl-RS"/>
        </w:rPr>
        <w:t>Uredbom sa zakonskom snagom o dopunama Zakona o Garantnom fondu Republike Srpske od 8. maja 2020. godine (</w:t>
      </w:r>
      <w:r w:rsidRPr="001C27A1">
        <w:rPr>
          <w:rFonts w:asciiTheme="minorHAnsi" w:eastAsiaTheme="minorHAnsi" w:hAnsiTheme="minorHAnsi"/>
          <w:sz w:val="20"/>
          <w:szCs w:val="20"/>
          <w:lang w:val="sr-Cyrl-BA" w:eastAsia="en-US"/>
        </w:rPr>
        <w:t xml:space="preserve">Službeni glasnik Republike Srpske broj 44/20) i </w:t>
      </w:r>
      <w:r w:rsidRPr="001C27A1">
        <w:rPr>
          <w:rFonts w:asciiTheme="minorHAnsi" w:hAnsiTheme="minorHAnsi"/>
          <w:noProof/>
          <w:color w:val="auto"/>
          <w:sz w:val="20"/>
          <w:szCs w:val="20"/>
          <w:lang w:val="sr-Cyrl-RS"/>
        </w:rPr>
        <w:t>Odlukom Narodne skupštine Republike Srpske o utvrđivanju Uredbe sa zakonskom snagom o dopunama  Zakona o Garantnom fondu Republike Srpske ( „Službeni glasnik Republike Srpske“  53/20)</w:t>
      </w:r>
      <w:r w:rsidRPr="001C27A1">
        <w:rPr>
          <w:rFonts w:asciiTheme="minorHAnsi" w:hAnsiTheme="minorHAnsi"/>
          <w:noProof/>
          <w:color w:val="auto"/>
          <w:sz w:val="20"/>
          <w:szCs w:val="20"/>
        </w:rPr>
        <w:t xml:space="preserve">, </w:t>
      </w:r>
      <w:r w:rsidRPr="001C27A1">
        <w:rPr>
          <w:rFonts w:asciiTheme="minorHAnsi" w:hAnsiTheme="minorHAnsi"/>
          <w:noProof/>
          <w:color w:val="auto"/>
          <w:sz w:val="20"/>
          <w:szCs w:val="20"/>
          <w:lang w:val="sr-Cyrl-RS"/>
        </w:rPr>
        <w:t>definisana je uloga Garantnog fonda Republike Srpske u provođenju garantnog programa koji organizuje Republika Srpska u opštem ekonomskom interesu, radi olakšanja pristupa finansijskim sredstvima i ublažavanja posljedica nastupanja posebnih okolnosti na privredu Republike Srpske, uključujući vanredno stanje ili vanrednu situaciju, na način da Fond može obavljati stručne i administrativno-tehničke poslove i upravljati garantnim programima koje organizuje Republika Srpska.</w:t>
      </w:r>
    </w:p>
    <w:p w:rsidR="005934B2" w:rsidRPr="001C27A1" w:rsidRDefault="005934B2" w:rsidP="00A401F8">
      <w:pPr>
        <w:autoSpaceDE w:val="0"/>
        <w:autoSpaceDN w:val="0"/>
        <w:adjustRightInd w:val="0"/>
        <w:rPr>
          <w:rFonts w:asciiTheme="minorHAnsi" w:hAnsiTheme="minorHAnsi"/>
          <w:sz w:val="20"/>
          <w:szCs w:val="20"/>
          <w:lang w:val="sr-Cyrl-BA"/>
        </w:rPr>
      </w:pPr>
    </w:p>
    <w:p w:rsidR="005934B2" w:rsidRDefault="005934B2" w:rsidP="00A401F8">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sz w:val="20"/>
          <w:szCs w:val="20"/>
          <w:lang w:val="sr-Cyrl-BA" w:eastAsia="en-US"/>
        </w:rPr>
        <w:t>O</w:t>
      </w:r>
      <w:r w:rsidRPr="001C27A1">
        <w:rPr>
          <w:rFonts w:asciiTheme="minorHAnsi" w:eastAsiaTheme="minorHAnsi" w:hAnsiTheme="minorHAnsi"/>
          <w:sz w:val="20"/>
          <w:szCs w:val="20"/>
          <w:lang w:val="sr-Latn-RS" w:eastAsia="en-US"/>
        </w:rPr>
        <w:t>dlukom Vlad</w:t>
      </w:r>
      <w:r w:rsidRPr="001C27A1">
        <w:rPr>
          <w:rFonts w:asciiTheme="minorHAnsi" w:eastAsiaTheme="minorHAnsi" w:hAnsiTheme="minorHAnsi"/>
          <w:sz w:val="20"/>
          <w:szCs w:val="20"/>
          <w:lang w:val="sr-Cyrl-BA" w:eastAsia="en-US"/>
        </w:rPr>
        <w:t>e</w:t>
      </w:r>
      <w:r w:rsidRPr="001C27A1">
        <w:rPr>
          <w:rFonts w:asciiTheme="minorHAnsi" w:eastAsiaTheme="minorHAnsi" w:hAnsiTheme="minorHAnsi"/>
          <w:sz w:val="20"/>
          <w:szCs w:val="20"/>
          <w:lang w:val="sr-Latn-RS" w:eastAsia="en-US"/>
        </w:rPr>
        <w:t xml:space="preserve"> Republike Srpske </w:t>
      </w:r>
      <w:r w:rsidRPr="001C27A1">
        <w:rPr>
          <w:rFonts w:asciiTheme="minorHAnsi" w:eastAsiaTheme="minorHAnsi" w:hAnsiTheme="minorHAnsi"/>
          <w:sz w:val="20"/>
          <w:szCs w:val="20"/>
          <w:lang w:val="sr-Cyrl-BA" w:eastAsia="en-US"/>
        </w:rPr>
        <w:t>od 02.07.2020. godine (Službeni glasnik Republike Srpske broj 64/20)</w:t>
      </w:r>
      <w:r>
        <w:rPr>
          <w:rFonts w:asciiTheme="minorHAnsi" w:eastAsiaTheme="minorHAnsi" w:hAnsiTheme="minorHAnsi"/>
          <w:sz w:val="20"/>
          <w:szCs w:val="20"/>
          <w:lang w:val="sr-Cyrl-BA" w:eastAsia="en-US"/>
        </w:rPr>
        <w:t>,</w:t>
      </w:r>
      <w:r w:rsidRPr="001C27A1">
        <w:rPr>
          <w:rFonts w:asciiTheme="minorHAnsi" w:eastAsiaTheme="minorHAnsi" w:hAnsiTheme="minorHAnsi"/>
          <w:sz w:val="20"/>
          <w:szCs w:val="20"/>
          <w:lang w:val="sr-Cyrl-BA" w:eastAsia="en-US"/>
        </w:rPr>
        <w:t xml:space="preserve"> organizovan je </w:t>
      </w:r>
      <w:r w:rsidRPr="001C27A1">
        <w:rPr>
          <w:rFonts w:asciiTheme="minorHAnsi" w:eastAsiaTheme="minorHAnsi" w:hAnsiTheme="minorHAnsi"/>
          <w:sz w:val="20"/>
          <w:szCs w:val="20"/>
          <w:lang w:val="sr-Latn-RS" w:eastAsia="en-US"/>
        </w:rPr>
        <w:t>Garantni program podrške privr</w:t>
      </w:r>
      <w:r w:rsidRPr="001C27A1">
        <w:rPr>
          <w:rFonts w:asciiTheme="minorHAnsi" w:eastAsiaTheme="minorHAnsi" w:hAnsiTheme="minorHAnsi"/>
          <w:sz w:val="20"/>
          <w:szCs w:val="20"/>
          <w:lang w:val="sr-Cyrl-BA" w:eastAsia="en-US"/>
        </w:rPr>
        <w:t>e</w:t>
      </w:r>
      <w:r w:rsidRPr="001C27A1">
        <w:rPr>
          <w:rFonts w:asciiTheme="minorHAnsi" w:eastAsiaTheme="minorHAnsi" w:hAnsiTheme="minorHAnsi"/>
          <w:sz w:val="20"/>
          <w:szCs w:val="20"/>
          <w:lang w:val="sr-Latn-RS" w:eastAsia="en-US"/>
        </w:rPr>
        <w:t>di za</w:t>
      </w:r>
      <w:r w:rsidRPr="001C27A1">
        <w:rPr>
          <w:rFonts w:asciiTheme="minorHAnsi" w:eastAsiaTheme="minorHAnsi" w:hAnsiTheme="minorHAnsi"/>
          <w:sz w:val="20"/>
          <w:szCs w:val="20"/>
          <w:lang w:val="sr-Cyrl-BA" w:eastAsia="en-US"/>
        </w:rPr>
        <w:t xml:space="preserve"> </w:t>
      </w:r>
      <w:r w:rsidRPr="001C27A1">
        <w:rPr>
          <w:rFonts w:asciiTheme="minorHAnsi" w:eastAsiaTheme="minorHAnsi" w:hAnsiTheme="minorHAnsi"/>
          <w:sz w:val="20"/>
          <w:szCs w:val="20"/>
          <w:lang w:val="sr-Latn-RS" w:eastAsia="en-US"/>
        </w:rPr>
        <w:t>ublažavanje posljedica pandemije bolesti COVID</w:t>
      </w:r>
      <w:r w:rsidRPr="001C27A1">
        <w:rPr>
          <w:rFonts w:asciiTheme="minorHAnsi" w:eastAsiaTheme="minorHAnsi" w:hAnsiTheme="minorHAnsi"/>
          <w:sz w:val="20"/>
          <w:szCs w:val="20"/>
          <w:lang w:val="sr-Cyrl-BA" w:eastAsia="en-US"/>
        </w:rPr>
        <w:t>-</w:t>
      </w:r>
      <w:r w:rsidRPr="001C27A1">
        <w:rPr>
          <w:rFonts w:asciiTheme="minorHAnsi" w:eastAsiaTheme="minorHAnsi" w:hAnsiTheme="minorHAnsi"/>
          <w:sz w:val="20"/>
          <w:szCs w:val="20"/>
          <w:lang w:val="sr-Latn-RS" w:eastAsia="en-US"/>
        </w:rPr>
        <w:t>19</w:t>
      </w:r>
      <w:r w:rsidRPr="001C27A1">
        <w:rPr>
          <w:rFonts w:asciiTheme="minorHAnsi" w:eastAsiaTheme="minorHAnsi" w:hAnsiTheme="minorHAnsi"/>
          <w:sz w:val="20"/>
          <w:szCs w:val="20"/>
          <w:lang w:val="sr-Cyrl-BA" w:eastAsia="en-US"/>
        </w:rPr>
        <w:t xml:space="preserve"> </w:t>
      </w:r>
      <w:r w:rsidRPr="001C27A1">
        <w:rPr>
          <w:rFonts w:asciiTheme="minorHAnsi" w:eastAsiaTheme="minorHAnsi" w:hAnsiTheme="minorHAnsi"/>
          <w:color w:val="auto"/>
          <w:sz w:val="20"/>
          <w:szCs w:val="20"/>
          <w:lang w:val="sr-Latn-RS" w:eastAsia="en-US"/>
        </w:rPr>
        <w:t>kao jedn</w:t>
      </w:r>
      <w:r w:rsidRPr="001C27A1">
        <w:rPr>
          <w:rFonts w:asciiTheme="minorHAnsi" w:eastAsiaTheme="minorHAnsi" w:hAnsiTheme="minorHAnsi"/>
          <w:color w:val="auto"/>
          <w:sz w:val="20"/>
          <w:szCs w:val="20"/>
          <w:lang w:val="sr-Cyrl-RS" w:eastAsia="en-US"/>
        </w:rPr>
        <w:t>a</w:t>
      </w:r>
      <w:r w:rsidRPr="001C27A1">
        <w:rPr>
          <w:rFonts w:asciiTheme="minorHAnsi" w:eastAsiaTheme="minorHAnsi" w:hAnsiTheme="minorHAnsi"/>
          <w:color w:val="auto"/>
          <w:sz w:val="20"/>
          <w:szCs w:val="20"/>
          <w:lang w:val="sr-Latn-RS" w:eastAsia="en-US"/>
        </w:rPr>
        <w:t xml:space="preserve"> od mjera podrške privredi radi ublažavanja ekonomskih posljedica i sprečavanja veće ekonomsk</w:t>
      </w:r>
      <w:r w:rsidRPr="001C27A1">
        <w:rPr>
          <w:rFonts w:asciiTheme="minorHAnsi" w:eastAsiaTheme="minorHAnsi" w:hAnsiTheme="minorHAnsi"/>
          <w:color w:val="auto"/>
          <w:sz w:val="20"/>
          <w:szCs w:val="20"/>
          <w:lang w:val="sr-Cyrl-RS" w:eastAsia="en-US"/>
        </w:rPr>
        <w:t>e</w:t>
      </w:r>
      <w:r w:rsidRPr="001C27A1">
        <w:rPr>
          <w:rFonts w:asciiTheme="minorHAnsi" w:eastAsiaTheme="minorHAnsi" w:hAnsiTheme="minorHAnsi"/>
          <w:color w:val="auto"/>
          <w:sz w:val="20"/>
          <w:szCs w:val="20"/>
          <w:lang w:val="sr-Latn-RS" w:eastAsia="en-US"/>
        </w:rPr>
        <w:t xml:space="preserve"> št</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 xml:space="preserve">te </w:t>
      </w:r>
      <w:r w:rsidRPr="001C27A1">
        <w:rPr>
          <w:rFonts w:asciiTheme="minorHAnsi" w:eastAsiaTheme="minorHAnsi" w:hAnsiTheme="minorHAnsi"/>
          <w:color w:val="auto"/>
          <w:sz w:val="20"/>
          <w:szCs w:val="20"/>
          <w:lang w:val="sr-Cyrl-RS" w:eastAsia="en-US"/>
        </w:rPr>
        <w:t xml:space="preserve">uzrokovane </w:t>
      </w:r>
      <w:r w:rsidRPr="001C27A1">
        <w:rPr>
          <w:rFonts w:asciiTheme="minorHAnsi" w:eastAsiaTheme="minorHAnsi" w:hAnsiTheme="minorHAnsi"/>
          <w:color w:val="auto"/>
          <w:sz w:val="20"/>
          <w:szCs w:val="20"/>
          <w:lang w:val="sr-Latn-RS" w:eastAsia="en-US"/>
        </w:rPr>
        <w:t>bole</w:t>
      </w:r>
      <w:r w:rsidRPr="001C27A1">
        <w:rPr>
          <w:rFonts w:asciiTheme="minorHAnsi" w:eastAsiaTheme="minorHAnsi" w:hAnsiTheme="minorHAnsi"/>
          <w:color w:val="auto"/>
          <w:sz w:val="20"/>
          <w:szCs w:val="20"/>
          <w:lang w:val="sr-Cyrl-RS" w:eastAsia="en-US"/>
        </w:rPr>
        <w:t>šću</w:t>
      </w:r>
      <w:r w:rsidRPr="001C27A1">
        <w:rPr>
          <w:rFonts w:asciiTheme="minorHAnsi" w:eastAsiaTheme="minorHAnsi" w:hAnsiTheme="minorHAnsi"/>
          <w:color w:val="auto"/>
          <w:sz w:val="20"/>
          <w:szCs w:val="20"/>
          <w:lang w:val="sr-Latn-RS" w:eastAsia="en-US"/>
        </w:rPr>
        <w:t xml:space="preserve">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19 izazvane virusom SARS-CoV-2</w:t>
      </w:r>
      <w:r w:rsidRPr="001C27A1">
        <w:rPr>
          <w:rFonts w:asciiTheme="minorHAnsi" w:eastAsiaTheme="minorHAnsi" w:hAnsiTheme="minorHAnsi"/>
          <w:sz w:val="20"/>
          <w:szCs w:val="20"/>
          <w:lang w:val="sr-Cyrl-BA" w:eastAsia="en-US"/>
        </w:rPr>
        <w:t>.</w:t>
      </w:r>
    </w:p>
    <w:p w:rsidR="005934B2" w:rsidRPr="001C27A1" w:rsidRDefault="005934B2" w:rsidP="00A401F8">
      <w:pPr>
        <w:autoSpaceDE w:val="0"/>
        <w:autoSpaceDN w:val="0"/>
        <w:adjustRightInd w:val="0"/>
        <w:rPr>
          <w:rFonts w:asciiTheme="minorHAnsi" w:eastAsiaTheme="minorHAnsi" w:hAnsiTheme="minorHAnsi"/>
          <w:sz w:val="20"/>
          <w:szCs w:val="20"/>
          <w:lang w:val="sr-Cyrl-BA" w:eastAsia="en-US"/>
        </w:rPr>
      </w:pPr>
    </w:p>
    <w:p w:rsidR="005934B2" w:rsidRDefault="005934B2" w:rsidP="00A401F8">
      <w:pPr>
        <w:autoSpaceDE w:val="0"/>
        <w:autoSpaceDN w:val="0"/>
        <w:adjustRightInd w:val="0"/>
        <w:rPr>
          <w:rFonts w:asciiTheme="minorHAnsi" w:eastAsiaTheme="minorHAnsi" w:hAnsiTheme="minorHAnsi"/>
          <w:sz w:val="20"/>
          <w:szCs w:val="20"/>
          <w:lang w:val="sr-Cyrl-BA" w:eastAsia="en-US"/>
        </w:rPr>
      </w:pPr>
      <w:r w:rsidRPr="001C27A1">
        <w:rPr>
          <w:rFonts w:asciiTheme="minorHAnsi" w:eastAsiaTheme="minorHAnsi" w:hAnsiTheme="minorHAnsi"/>
          <w:color w:val="auto"/>
          <w:sz w:val="20"/>
          <w:szCs w:val="20"/>
          <w:lang w:val="sr-Latn-RS" w:eastAsia="en-US"/>
        </w:rPr>
        <w:t>Cilj Garantnog programa</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Latn-BA" w:eastAsia="en-US"/>
        </w:rPr>
        <w:t>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Latn-RS" w:eastAsia="en-US"/>
        </w:rPr>
        <w:t xml:space="preserve"> je olakšavanje pristupa finansijskim sredstvima za privredne subjekte – </w:t>
      </w:r>
      <w:r w:rsidRPr="001C27A1">
        <w:rPr>
          <w:rFonts w:asciiTheme="minorHAnsi" w:eastAsiaTheme="minorHAnsi" w:hAnsiTheme="minorHAnsi"/>
          <w:color w:val="auto"/>
          <w:sz w:val="20"/>
          <w:szCs w:val="20"/>
          <w:lang w:val="sr-Cyrl-RS" w:eastAsia="en-US"/>
        </w:rPr>
        <w:t xml:space="preserve">preduzetnike, </w:t>
      </w:r>
      <w:r w:rsidRPr="001C27A1">
        <w:rPr>
          <w:rFonts w:asciiTheme="minorHAnsi" w:eastAsiaTheme="minorHAnsi" w:hAnsiTheme="minorHAnsi"/>
          <w:color w:val="auto"/>
          <w:sz w:val="20"/>
          <w:szCs w:val="20"/>
          <w:lang w:val="sr-Latn-RS" w:eastAsia="en-US"/>
        </w:rPr>
        <w:t>mikro</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 xml:space="preserve"> mala i srednja pr</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duz</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ća</w:t>
      </w:r>
      <w:r w:rsidRPr="001C27A1">
        <w:rPr>
          <w:rFonts w:asciiTheme="minorHAnsi" w:eastAsiaTheme="minorHAnsi" w:hAnsiTheme="minorHAnsi"/>
          <w:color w:val="auto"/>
          <w:sz w:val="20"/>
          <w:szCs w:val="20"/>
          <w:lang w:val="sr-Cyrl-RS" w:eastAsia="en-US"/>
        </w:rPr>
        <w:t xml:space="preserve"> putem</w:t>
      </w:r>
      <w:r w:rsidRPr="001C27A1">
        <w:rPr>
          <w:rFonts w:asciiTheme="minorHAnsi" w:eastAsiaTheme="minorHAnsi" w:hAnsiTheme="minorHAnsi"/>
          <w:color w:val="auto"/>
          <w:sz w:val="20"/>
          <w:szCs w:val="20"/>
          <w:lang w:val="sr-Latn-RS" w:eastAsia="en-US"/>
        </w:rPr>
        <w:t xml:space="preserve"> iz</w:t>
      </w:r>
      <w:r w:rsidRPr="001C27A1">
        <w:rPr>
          <w:rFonts w:asciiTheme="minorHAnsi" w:eastAsiaTheme="minorHAnsi" w:hAnsiTheme="minorHAnsi"/>
          <w:color w:val="auto"/>
          <w:sz w:val="20"/>
          <w:szCs w:val="20"/>
          <w:lang w:val="sr-Cyrl-BA" w:eastAsia="en-US"/>
        </w:rPr>
        <w:t>d</w:t>
      </w:r>
      <w:r w:rsidRPr="001C27A1">
        <w:rPr>
          <w:rFonts w:asciiTheme="minorHAnsi" w:eastAsiaTheme="minorHAnsi" w:hAnsiTheme="minorHAnsi"/>
          <w:color w:val="auto"/>
          <w:sz w:val="20"/>
          <w:szCs w:val="20"/>
          <w:lang w:val="sr-Latn-RS" w:eastAsia="en-US"/>
        </w:rPr>
        <w:t>a</w:t>
      </w:r>
      <w:r w:rsidRPr="001C27A1">
        <w:rPr>
          <w:rFonts w:asciiTheme="minorHAnsi" w:eastAsiaTheme="minorHAnsi" w:hAnsiTheme="minorHAnsi"/>
          <w:color w:val="auto"/>
          <w:sz w:val="20"/>
          <w:szCs w:val="20"/>
          <w:lang w:val="sr-Cyrl-BA" w:eastAsia="en-US"/>
        </w:rPr>
        <w:t>v</w:t>
      </w:r>
      <w:r w:rsidRPr="001C27A1">
        <w:rPr>
          <w:rFonts w:asciiTheme="minorHAnsi" w:eastAsiaTheme="minorHAnsi" w:hAnsiTheme="minorHAnsi"/>
          <w:color w:val="auto"/>
          <w:sz w:val="20"/>
          <w:szCs w:val="20"/>
          <w:lang w:val="sr-Latn-RS" w:eastAsia="en-US"/>
        </w:rPr>
        <w:t>a</w:t>
      </w:r>
      <w:r w:rsidRPr="001C27A1">
        <w:rPr>
          <w:rFonts w:asciiTheme="minorHAnsi" w:eastAsiaTheme="minorHAnsi" w:hAnsiTheme="minorHAnsi"/>
          <w:color w:val="auto"/>
          <w:sz w:val="20"/>
          <w:szCs w:val="20"/>
          <w:lang w:val="sr-Cyrl-BA" w:eastAsia="en-US"/>
        </w:rPr>
        <w:t>nj</w:t>
      </w:r>
      <w:r w:rsidRPr="001C27A1">
        <w:rPr>
          <w:rFonts w:asciiTheme="minorHAnsi" w:eastAsiaTheme="minorHAnsi" w:hAnsiTheme="minorHAnsi"/>
          <w:color w:val="auto"/>
          <w:sz w:val="20"/>
          <w:szCs w:val="20"/>
          <w:lang w:val="sr-Cyrl-RS" w:eastAsia="en-US"/>
        </w:rPr>
        <w:t>a</w:t>
      </w:r>
      <w:r w:rsidRPr="001C27A1">
        <w:rPr>
          <w:rFonts w:asciiTheme="minorHAnsi" w:eastAsiaTheme="minorHAnsi" w:hAnsiTheme="minorHAnsi"/>
          <w:color w:val="auto"/>
          <w:sz w:val="20"/>
          <w:szCs w:val="20"/>
          <w:lang w:val="sr-Latn-RS" w:eastAsia="en-US"/>
        </w:rPr>
        <w:t xml:space="preserve"> gara</w:t>
      </w:r>
      <w:r w:rsidRPr="001C27A1">
        <w:rPr>
          <w:rFonts w:asciiTheme="minorHAnsi" w:eastAsiaTheme="minorHAnsi" w:hAnsiTheme="minorHAnsi"/>
          <w:color w:val="auto"/>
          <w:sz w:val="20"/>
          <w:szCs w:val="20"/>
          <w:lang w:val="sr-Cyrl-BA" w:eastAsia="en-US"/>
        </w:rPr>
        <w:t>n</w:t>
      </w:r>
      <w:r w:rsidRPr="001C27A1">
        <w:rPr>
          <w:rFonts w:asciiTheme="minorHAnsi" w:eastAsiaTheme="minorHAnsi" w:hAnsiTheme="minorHAnsi"/>
          <w:color w:val="auto"/>
          <w:sz w:val="20"/>
          <w:szCs w:val="20"/>
          <w:lang w:val="sr-Latn-RS" w:eastAsia="en-US"/>
        </w:rPr>
        <w:t>cij</w:t>
      </w:r>
      <w:r w:rsidRPr="001C27A1">
        <w:rPr>
          <w:rFonts w:asciiTheme="minorHAnsi" w:eastAsiaTheme="minorHAnsi" w:hAnsiTheme="minorHAnsi"/>
          <w:color w:val="auto"/>
          <w:sz w:val="20"/>
          <w:szCs w:val="20"/>
          <w:lang w:val="sr-Cyrl-BA" w:eastAsia="en-US"/>
        </w:rPr>
        <w:t>a</w:t>
      </w:r>
      <w:r w:rsidRPr="001C27A1">
        <w:rPr>
          <w:rFonts w:asciiTheme="minorHAnsi" w:eastAsiaTheme="minorHAnsi" w:hAnsiTheme="minorHAnsi"/>
          <w:color w:val="auto"/>
          <w:sz w:val="20"/>
          <w:szCs w:val="20"/>
          <w:lang w:val="sr-Latn-RS" w:eastAsia="en-US"/>
        </w:rPr>
        <w:t xml:space="preserve"> za obezbj</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đenje potraživanja po kr</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ditu odobrenom od finansijsk</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 xml:space="preserve"> org</w:t>
      </w:r>
      <w:r w:rsidRPr="001C27A1">
        <w:rPr>
          <w:rFonts w:asciiTheme="minorHAnsi" w:eastAsiaTheme="minorHAnsi" w:hAnsiTheme="minorHAnsi"/>
          <w:color w:val="auto"/>
          <w:sz w:val="20"/>
          <w:szCs w:val="20"/>
          <w:lang w:val="sr-Cyrl-BA" w:eastAsia="en-US"/>
        </w:rPr>
        <w:t>a</w:t>
      </w:r>
      <w:r w:rsidRPr="001C27A1">
        <w:rPr>
          <w:rFonts w:asciiTheme="minorHAnsi" w:eastAsiaTheme="minorHAnsi" w:hAnsiTheme="minorHAnsi"/>
          <w:color w:val="auto"/>
          <w:sz w:val="20"/>
          <w:szCs w:val="20"/>
          <w:lang w:val="sr-Latn-RS" w:eastAsia="en-US"/>
        </w:rPr>
        <w:t>nizacij</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 tj. ob</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zbjeđenjsm djelimičn</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 xml:space="preserve"> zaštit</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 xml:space="preserve"> od kreditnog</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color w:val="auto"/>
          <w:sz w:val="20"/>
          <w:szCs w:val="20"/>
          <w:lang w:val="sr-Latn-RS" w:eastAsia="en-US"/>
        </w:rPr>
        <w:t>rizika tih preduzeća</w:t>
      </w:r>
      <w:r w:rsidRPr="001C27A1">
        <w:rPr>
          <w:rFonts w:asciiTheme="minorHAnsi" w:eastAsiaTheme="minorHAnsi" w:hAnsiTheme="minorHAnsi"/>
          <w:color w:val="auto"/>
          <w:sz w:val="20"/>
          <w:szCs w:val="20"/>
          <w:lang w:val="sr-Cyrl-BA" w:eastAsia="en-US"/>
        </w:rPr>
        <w:t>,</w:t>
      </w:r>
      <w:r w:rsidRPr="001C27A1">
        <w:rPr>
          <w:rFonts w:asciiTheme="minorHAnsi" w:eastAsiaTheme="minorHAnsi" w:hAnsiTheme="minorHAnsi"/>
          <w:color w:val="auto"/>
          <w:sz w:val="20"/>
          <w:szCs w:val="20"/>
          <w:lang w:val="sr-Latn-RS" w:eastAsia="en-US"/>
        </w:rPr>
        <w:t xml:space="preserve"> </w:t>
      </w:r>
      <w:r w:rsidRPr="001C27A1">
        <w:rPr>
          <w:rFonts w:asciiTheme="minorHAnsi" w:eastAsiaTheme="minorHAnsi" w:hAnsiTheme="minorHAnsi"/>
          <w:color w:val="auto"/>
          <w:sz w:val="20"/>
          <w:szCs w:val="20"/>
          <w:lang w:val="sr-Cyrl-RS" w:eastAsia="en-US"/>
        </w:rPr>
        <w:t>p</w:t>
      </w:r>
      <w:r w:rsidRPr="001C27A1">
        <w:rPr>
          <w:rFonts w:asciiTheme="minorHAnsi" w:eastAsiaTheme="minorHAnsi" w:hAnsiTheme="minorHAnsi"/>
          <w:color w:val="auto"/>
          <w:sz w:val="20"/>
          <w:szCs w:val="20"/>
          <w:lang w:val="sr-Latn-RS" w:eastAsia="en-US"/>
        </w:rPr>
        <w:t xml:space="preserve">ovećanog </w:t>
      </w:r>
      <w:r w:rsidRPr="001C27A1">
        <w:rPr>
          <w:rFonts w:asciiTheme="minorHAnsi" w:eastAsiaTheme="minorHAnsi" w:hAnsiTheme="minorHAnsi"/>
          <w:color w:val="auto"/>
          <w:sz w:val="20"/>
          <w:szCs w:val="20"/>
          <w:lang w:val="sr-Cyrl-BA" w:eastAsia="en-US"/>
        </w:rPr>
        <w:t>e</w:t>
      </w:r>
      <w:r w:rsidRPr="001C27A1">
        <w:rPr>
          <w:rFonts w:asciiTheme="minorHAnsi" w:eastAsiaTheme="minorHAnsi" w:hAnsiTheme="minorHAnsi"/>
          <w:color w:val="auto"/>
          <w:sz w:val="20"/>
          <w:szCs w:val="20"/>
          <w:lang w:val="sr-Latn-RS" w:eastAsia="en-US"/>
        </w:rPr>
        <w:t>konomskim posljed</w:t>
      </w:r>
      <w:r w:rsidRPr="001C27A1">
        <w:rPr>
          <w:rFonts w:asciiTheme="minorHAnsi" w:eastAsiaTheme="minorHAnsi" w:hAnsiTheme="minorHAnsi"/>
          <w:color w:val="auto"/>
          <w:sz w:val="20"/>
          <w:szCs w:val="20"/>
          <w:lang w:val="sr-Cyrl-BA" w:eastAsia="en-US"/>
        </w:rPr>
        <w:t>i</w:t>
      </w:r>
      <w:r w:rsidRPr="001C27A1">
        <w:rPr>
          <w:rFonts w:asciiTheme="minorHAnsi" w:eastAsiaTheme="minorHAnsi" w:hAnsiTheme="minorHAnsi"/>
          <w:color w:val="auto"/>
          <w:sz w:val="20"/>
          <w:szCs w:val="20"/>
          <w:lang w:val="sr-Latn-RS" w:eastAsia="en-US"/>
        </w:rPr>
        <w:t xml:space="preserve">cama </w:t>
      </w:r>
      <w:r w:rsidRPr="001C27A1">
        <w:rPr>
          <w:rFonts w:asciiTheme="minorHAnsi" w:eastAsiaTheme="minorHAnsi" w:hAnsiTheme="minorHAnsi"/>
          <w:color w:val="auto"/>
          <w:sz w:val="20"/>
          <w:szCs w:val="20"/>
          <w:lang w:val="sr-Cyrl-BA" w:eastAsia="en-US"/>
        </w:rPr>
        <w:t>n</w:t>
      </w:r>
      <w:r w:rsidRPr="001C27A1">
        <w:rPr>
          <w:rFonts w:asciiTheme="minorHAnsi" w:eastAsiaTheme="minorHAnsi" w:hAnsiTheme="minorHAnsi"/>
          <w:color w:val="auto"/>
          <w:sz w:val="20"/>
          <w:szCs w:val="20"/>
          <w:lang w:val="sr-Latn-RS" w:eastAsia="en-US"/>
        </w:rPr>
        <w:t>astalim usljed bolesti COVID 19 izazvane virusom SARS-CoV-2.</w:t>
      </w:r>
      <w:r w:rsidRPr="001C27A1">
        <w:rPr>
          <w:rFonts w:asciiTheme="minorHAnsi" w:eastAsiaTheme="minorHAnsi" w:hAnsiTheme="minorHAnsi"/>
          <w:color w:val="auto"/>
          <w:sz w:val="20"/>
          <w:szCs w:val="20"/>
          <w:lang w:val="sr-Cyrl-RS" w:eastAsia="en-US"/>
        </w:rPr>
        <w:t xml:space="preserve"> </w:t>
      </w:r>
      <w:r w:rsidRPr="001C27A1">
        <w:rPr>
          <w:rFonts w:asciiTheme="minorHAnsi" w:eastAsiaTheme="minorHAnsi" w:hAnsiTheme="minorHAnsi"/>
          <w:sz w:val="20"/>
          <w:szCs w:val="20"/>
          <w:lang w:val="sr-Latn-RS" w:eastAsia="en-US"/>
        </w:rPr>
        <w:t>Garantnim programom</w:t>
      </w:r>
      <w:r w:rsidRPr="001C27A1">
        <w:rPr>
          <w:rFonts w:asciiTheme="minorHAnsi" w:eastAsiaTheme="minorHAnsi" w:hAnsiTheme="minorHAnsi"/>
          <w:b/>
          <w:color w:val="auto"/>
          <w:sz w:val="20"/>
          <w:szCs w:val="20"/>
          <w:lang w:val="sr-Cyrl-BA" w:eastAsia="en-US"/>
        </w:rPr>
        <w:t xml:space="preserve"> </w:t>
      </w:r>
      <w:r>
        <w:rPr>
          <w:rFonts w:asciiTheme="minorHAnsi" w:eastAsiaTheme="minorHAnsi" w:hAnsiTheme="minorHAnsi"/>
          <w:color w:val="auto"/>
          <w:sz w:val="20"/>
          <w:szCs w:val="20"/>
          <w:lang w:val="sr-Latn-BA" w:eastAsia="en-US"/>
        </w:rPr>
        <w:t>COVID</w:t>
      </w:r>
      <w:r>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sz w:val="20"/>
          <w:szCs w:val="20"/>
          <w:lang w:val="sr-Latn-RS" w:eastAsia="en-US"/>
        </w:rPr>
        <w:t>, u ime i za raču</w:t>
      </w:r>
      <w:r w:rsidRPr="001C27A1">
        <w:rPr>
          <w:rFonts w:asciiTheme="minorHAnsi" w:eastAsiaTheme="minorHAnsi" w:hAnsiTheme="minorHAnsi"/>
          <w:sz w:val="20"/>
          <w:szCs w:val="20"/>
          <w:lang w:val="sr-Cyrl-BA" w:eastAsia="en-US"/>
        </w:rPr>
        <w:t>n</w:t>
      </w:r>
      <w:r w:rsidRPr="001C27A1">
        <w:rPr>
          <w:rFonts w:asciiTheme="minorHAnsi" w:eastAsiaTheme="minorHAnsi" w:hAnsiTheme="minorHAnsi"/>
          <w:sz w:val="20"/>
          <w:szCs w:val="20"/>
          <w:lang w:val="sr-Latn-RS" w:eastAsia="en-US"/>
        </w:rPr>
        <w:t xml:space="preserve"> R</w:t>
      </w:r>
      <w:r w:rsidRPr="001C27A1">
        <w:rPr>
          <w:rFonts w:asciiTheme="minorHAnsi" w:eastAsiaTheme="minorHAnsi" w:hAnsiTheme="minorHAnsi"/>
          <w:sz w:val="20"/>
          <w:szCs w:val="20"/>
          <w:lang w:val="sr-Cyrl-BA" w:eastAsia="en-US"/>
        </w:rPr>
        <w:t>e</w:t>
      </w:r>
      <w:r w:rsidRPr="001C27A1">
        <w:rPr>
          <w:rFonts w:asciiTheme="minorHAnsi" w:eastAsiaTheme="minorHAnsi" w:hAnsiTheme="minorHAnsi"/>
          <w:sz w:val="20"/>
          <w:szCs w:val="20"/>
          <w:lang w:val="sr-Latn-RS" w:eastAsia="en-US"/>
        </w:rPr>
        <w:t>pub</w:t>
      </w:r>
      <w:r w:rsidRPr="001C27A1">
        <w:rPr>
          <w:rFonts w:asciiTheme="minorHAnsi" w:eastAsiaTheme="minorHAnsi" w:hAnsiTheme="minorHAnsi"/>
          <w:sz w:val="20"/>
          <w:szCs w:val="20"/>
          <w:lang w:val="sr-Cyrl-RS" w:eastAsia="en-US"/>
        </w:rPr>
        <w:t>l</w:t>
      </w:r>
      <w:r w:rsidRPr="001C27A1">
        <w:rPr>
          <w:rFonts w:asciiTheme="minorHAnsi" w:eastAsiaTheme="minorHAnsi" w:hAnsiTheme="minorHAnsi"/>
          <w:sz w:val="20"/>
          <w:szCs w:val="20"/>
          <w:lang w:val="sr-Latn-RS" w:eastAsia="en-US"/>
        </w:rPr>
        <w:t>ike Sr</w:t>
      </w:r>
      <w:r w:rsidRPr="001C27A1">
        <w:rPr>
          <w:rFonts w:asciiTheme="minorHAnsi" w:eastAsiaTheme="minorHAnsi" w:hAnsiTheme="minorHAnsi"/>
          <w:sz w:val="20"/>
          <w:szCs w:val="20"/>
          <w:lang w:val="sr-Cyrl-RS" w:eastAsia="en-US"/>
        </w:rPr>
        <w:t>p</w:t>
      </w:r>
      <w:r w:rsidRPr="001C27A1">
        <w:rPr>
          <w:rFonts w:asciiTheme="minorHAnsi" w:eastAsiaTheme="minorHAnsi" w:hAnsiTheme="minorHAnsi"/>
          <w:sz w:val="20"/>
          <w:szCs w:val="20"/>
          <w:lang w:val="sr-Latn-RS" w:eastAsia="en-US"/>
        </w:rPr>
        <w:t>ske, upravlja Garantni fond Repu</w:t>
      </w:r>
      <w:r w:rsidRPr="001C27A1">
        <w:rPr>
          <w:rFonts w:asciiTheme="minorHAnsi" w:eastAsiaTheme="minorHAnsi" w:hAnsiTheme="minorHAnsi"/>
          <w:sz w:val="20"/>
          <w:szCs w:val="20"/>
          <w:lang w:val="sr-Cyrl-BA" w:eastAsia="en-US"/>
        </w:rPr>
        <w:t>blike</w:t>
      </w:r>
      <w:r w:rsidRPr="001C27A1">
        <w:rPr>
          <w:rFonts w:asciiTheme="minorHAnsi" w:eastAsiaTheme="minorHAnsi" w:hAnsiTheme="minorHAnsi"/>
          <w:sz w:val="20"/>
          <w:szCs w:val="20"/>
          <w:lang w:val="sr-Latn-RS" w:eastAsia="en-US"/>
        </w:rPr>
        <w:t xml:space="preserve"> Srpske</w:t>
      </w:r>
      <w:r w:rsidRPr="001C27A1">
        <w:rPr>
          <w:rFonts w:asciiTheme="minorHAnsi" w:eastAsiaTheme="minorHAnsi" w:hAnsiTheme="minorHAnsi"/>
          <w:sz w:val="20"/>
          <w:szCs w:val="20"/>
          <w:lang w:val="sr-Cyrl-BA" w:eastAsia="en-US"/>
        </w:rPr>
        <w:t>.</w:t>
      </w:r>
    </w:p>
    <w:p w:rsidR="005934B2" w:rsidRPr="001C27A1" w:rsidRDefault="005934B2" w:rsidP="00A401F8">
      <w:pPr>
        <w:autoSpaceDE w:val="0"/>
        <w:autoSpaceDN w:val="0"/>
        <w:adjustRightInd w:val="0"/>
        <w:rPr>
          <w:rFonts w:asciiTheme="minorHAnsi" w:eastAsiaTheme="minorHAnsi" w:hAnsiTheme="minorHAnsi"/>
          <w:color w:val="auto"/>
          <w:sz w:val="20"/>
          <w:szCs w:val="20"/>
          <w:lang w:val="sr-Latn-RS" w:eastAsia="en-US"/>
        </w:rPr>
      </w:pPr>
    </w:p>
    <w:p w:rsidR="005934B2" w:rsidRPr="001C27A1" w:rsidRDefault="005934B2" w:rsidP="00A401F8">
      <w:pPr>
        <w:autoSpaceDE w:val="0"/>
        <w:autoSpaceDN w:val="0"/>
        <w:adjustRightInd w:val="0"/>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Latn-RS" w:eastAsia="en-US"/>
        </w:rPr>
        <w:t>Fond je dužan da, u skladu sa pravilima poslovanja Garantnog programa</w:t>
      </w:r>
      <w:r w:rsidRPr="001C27A1">
        <w:rPr>
          <w:rFonts w:asciiTheme="minorHAnsi" w:eastAsiaTheme="minorHAnsi" w:hAnsiTheme="minorHAnsi"/>
          <w:color w:val="auto"/>
          <w:sz w:val="20"/>
          <w:szCs w:val="20"/>
          <w:lang w:val="sr-Cyrl-BA" w:eastAsia="en-US"/>
        </w:rPr>
        <w:t xml:space="preserve"> </w:t>
      </w:r>
      <w:r w:rsidRPr="001C27A1">
        <w:rPr>
          <w:rFonts w:asciiTheme="minorHAnsi" w:eastAsiaTheme="minorHAnsi" w:hAnsiTheme="minorHAnsi"/>
          <w:color w:val="auto"/>
          <w:sz w:val="20"/>
          <w:szCs w:val="20"/>
          <w:lang w:val="sr-Latn-BA" w:eastAsia="en-US"/>
        </w:rPr>
        <w:t>COVID 19</w:t>
      </w:r>
      <w:r w:rsidRPr="001C27A1">
        <w:rPr>
          <w:rFonts w:asciiTheme="minorHAnsi" w:eastAsiaTheme="minorHAnsi" w:hAnsiTheme="minorHAnsi"/>
          <w:color w:val="auto"/>
          <w:sz w:val="20"/>
          <w:szCs w:val="20"/>
          <w:lang w:val="sr-Latn-RS" w:eastAsia="en-US"/>
        </w:rPr>
        <w:t>,  sačinjava izvještaje o broju kredita uključenih u portfolio prema granskoj pripadnosti i veličini privrednog subjekta, o stanju neotplaćene glavnice kredita, očekivanim kreditnim gubicima i drugim pitanjima od značaja za projekciju budžetskih rashoda.</w:t>
      </w:r>
      <w:r>
        <w:rPr>
          <w:rFonts w:asciiTheme="minorHAnsi" w:eastAsiaTheme="minorHAnsi" w:hAnsiTheme="minorHAnsi"/>
          <w:color w:val="auto"/>
          <w:sz w:val="20"/>
          <w:szCs w:val="20"/>
          <w:lang w:val="sr-Cyrl-RS" w:eastAsia="en-US"/>
        </w:rPr>
        <w:t xml:space="preserve"> </w:t>
      </w:r>
      <w:r w:rsidRPr="001C27A1">
        <w:rPr>
          <w:rFonts w:asciiTheme="minorHAnsi" w:eastAsiaTheme="minorHAnsi" w:hAnsiTheme="minorHAnsi"/>
          <w:color w:val="auto"/>
          <w:sz w:val="20"/>
          <w:szCs w:val="20"/>
          <w:lang w:val="sr-Cyrl-RS" w:eastAsia="en-US"/>
        </w:rPr>
        <w:t>Fond takođe s</w:t>
      </w:r>
      <w:r w:rsidRPr="001C27A1">
        <w:rPr>
          <w:rFonts w:asciiTheme="minorHAnsi" w:eastAsiaTheme="minorHAnsi" w:hAnsiTheme="minorHAnsi"/>
          <w:color w:val="auto"/>
          <w:sz w:val="20"/>
          <w:szCs w:val="20"/>
          <w:lang w:val="sr-Latn-RS" w:eastAsia="en-US"/>
        </w:rPr>
        <w:t>ačinjava knjigovodstven</w:t>
      </w:r>
      <w:r w:rsidRPr="001C27A1">
        <w:rPr>
          <w:rFonts w:asciiTheme="minorHAnsi" w:eastAsiaTheme="minorHAnsi" w:hAnsiTheme="minorHAnsi"/>
          <w:color w:val="auto"/>
          <w:sz w:val="20"/>
          <w:szCs w:val="20"/>
          <w:lang w:val="sr-Cyrl-RS" w:eastAsia="en-US"/>
        </w:rPr>
        <w:t>e</w:t>
      </w:r>
      <w:r w:rsidRPr="001C27A1">
        <w:rPr>
          <w:rFonts w:asciiTheme="minorHAnsi" w:eastAsiaTheme="minorHAnsi" w:hAnsiTheme="minorHAnsi"/>
          <w:color w:val="auto"/>
          <w:sz w:val="20"/>
          <w:szCs w:val="20"/>
          <w:lang w:val="sr-Latn-RS" w:eastAsia="en-US"/>
        </w:rPr>
        <w:t xml:space="preserve"> isprav</w:t>
      </w:r>
      <w:r w:rsidRPr="001C27A1">
        <w:rPr>
          <w:rFonts w:asciiTheme="minorHAnsi" w:eastAsiaTheme="minorHAnsi" w:hAnsiTheme="minorHAnsi"/>
          <w:color w:val="auto"/>
          <w:sz w:val="20"/>
          <w:szCs w:val="20"/>
          <w:lang w:val="sr-Cyrl-RS" w:eastAsia="en-US"/>
        </w:rPr>
        <w:t>e</w:t>
      </w:r>
      <w:r w:rsidRPr="001C27A1">
        <w:rPr>
          <w:rFonts w:asciiTheme="minorHAnsi" w:eastAsiaTheme="minorHAnsi" w:hAnsiTheme="minorHAnsi"/>
          <w:color w:val="auto"/>
          <w:sz w:val="20"/>
          <w:szCs w:val="20"/>
          <w:lang w:val="sr-Latn-RS" w:eastAsia="en-US"/>
        </w:rPr>
        <w:t>, vo</w:t>
      </w:r>
      <w:r w:rsidRPr="001C27A1">
        <w:rPr>
          <w:rFonts w:asciiTheme="minorHAnsi" w:eastAsiaTheme="minorHAnsi" w:hAnsiTheme="minorHAnsi"/>
          <w:color w:val="auto"/>
          <w:sz w:val="20"/>
          <w:szCs w:val="20"/>
          <w:lang w:val="sr-Cyrl-RS" w:eastAsia="en-US"/>
        </w:rPr>
        <w:t>di</w:t>
      </w:r>
      <w:r w:rsidRPr="001C27A1">
        <w:rPr>
          <w:rFonts w:asciiTheme="minorHAnsi" w:eastAsiaTheme="minorHAnsi" w:hAnsiTheme="minorHAnsi"/>
          <w:color w:val="auto"/>
          <w:sz w:val="20"/>
          <w:szCs w:val="20"/>
          <w:lang w:val="sr-Latn-RS" w:eastAsia="en-US"/>
        </w:rPr>
        <w:t xml:space="preserve"> poslovn</w:t>
      </w:r>
      <w:r w:rsidRPr="001C27A1">
        <w:rPr>
          <w:rFonts w:asciiTheme="minorHAnsi" w:eastAsiaTheme="minorHAnsi" w:hAnsiTheme="minorHAnsi"/>
          <w:color w:val="auto"/>
          <w:sz w:val="20"/>
          <w:szCs w:val="20"/>
          <w:lang w:val="sr-Cyrl-RS" w:eastAsia="en-US"/>
        </w:rPr>
        <w:t>e</w:t>
      </w:r>
      <w:r w:rsidRPr="001C27A1">
        <w:rPr>
          <w:rFonts w:asciiTheme="minorHAnsi" w:eastAsiaTheme="minorHAnsi" w:hAnsiTheme="minorHAnsi"/>
          <w:color w:val="auto"/>
          <w:sz w:val="20"/>
          <w:szCs w:val="20"/>
          <w:lang w:val="sr-Latn-RS" w:eastAsia="en-US"/>
        </w:rPr>
        <w:t xml:space="preserve"> knj</w:t>
      </w:r>
      <w:r w:rsidRPr="001C27A1">
        <w:rPr>
          <w:rFonts w:asciiTheme="minorHAnsi" w:eastAsiaTheme="minorHAnsi" w:hAnsiTheme="minorHAnsi"/>
          <w:color w:val="auto"/>
          <w:sz w:val="20"/>
          <w:szCs w:val="20"/>
          <w:lang w:val="sr-Cyrl-RS" w:eastAsia="en-US"/>
        </w:rPr>
        <w:t>i</w:t>
      </w:r>
      <w:r w:rsidRPr="001C27A1">
        <w:rPr>
          <w:rFonts w:asciiTheme="minorHAnsi" w:eastAsiaTheme="minorHAnsi" w:hAnsiTheme="minorHAnsi"/>
          <w:color w:val="auto"/>
          <w:sz w:val="20"/>
          <w:szCs w:val="20"/>
          <w:lang w:val="sr-Latn-RS" w:eastAsia="en-US"/>
        </w:rPr>
        <w:t>g</w:t>
      </w:r>
      <w:r w:rsidRPr="001C27A1">
        <w:rPr>
          <w:rFonts w:asciiTheme="minorHAnsi" w:eastAsiaTheme="minorHAnsi" w:hAnsiTheme="minorHAnsi"/>
          <w:color w:val="auto"/>
          <w:sz w:val="20"/>
          <w:szCs w:val="20"/>
          <w:lang w:val="sr-Cyrl-RS" w:eastAsia="en-US"/>
        </w:rPr>
        <w:t>e</w:t>
      </w:r>
      <w:r w:rsidRPr="001C27A1">
        <w:rPr>
          <w:rFonts w:asciiTheme="minorHAnsi" w:eastAsiaTheme="minorHAnsi" w:hAnsiTheme="minorHAnsi"/>
          <w:color w:val="auto"/>
          <w:sz w:val="20"/>
          <w:szCs w:val="20"/>
          <w:lang w:val="sr-Latn-RS" w:eastAsia="en-US"/>
        </w:rPr>
        <w:t xml:space="preserve"> i sačinjava finansijsk</w:t>
      </w:r>
      <w:r w:rsidRPr="001C27A1">
        <w:rPr>
          <w:rFonts w:asciiTheme="minorHAnsi" w:eastAsiaTheme="minorHAnsi" w:hAnsiTheme="minorHAnsi"/>
          <w:color w:val="auto"/>
          <w:sz w:val="20"/>
          <w:szCs w:val="20"/>
          <w:lang w:val="sr-Cyrl-RS" w:eastAsia="en-US"/>
        </w:rPr>
        <w:t>e</w:t>
      </w:r>
      <w:r w:rsidRPr="001C27A1">
        <w:rPr>
          <w:rFonts w:asciiTheme="minorHAnsi" w:eastAsiaTheme="minorHAnsi" w:hAnsiTheme="minorHAnsi"/>
          <w:color w:val="auto"/>
          <w:sz w:val="20"/>
          <w:szCs w:val="20"/>
          <w:lang w:val="sr-Latn-RS" w:eastAsia="en-US"/>
        </w:rPr>
        <w:t xml:space="preserve"> i drug</w:t>
      </w:r>
      <w:r w:rsidRPr="001C27A1">
        <w:rPr>
          <w:rFonts w:asciiTheme="minorHAnsi" w:eastAsiaTheme="minorHAnsi" w:hAnsiTheme="minorHAnsi"/>
          <w:color w:val="auto"/>
          <w:sz w:val="20"/>
          <w:szCs w:val="20"/>
          <w:lang w:val="sr-Cyrl-RS" w:eastAsia="en-US"/>
        </w:rPr>
        <w:t>e</w:t>
      </w:r>
      <w:r w:rsidRPr="001C27A1">
        <w:rPr>
          <w:rFonts w:asciiTheme="minorHAnsi" w:eastAsiaTheme="minorHAnsi" w:hAnsiTheme="minorHAnsi"/>
          <w:color w:val="auto"/>
          <w:sz w:val="20"/>
          <w:szCs w:val="20"/>
          <w:lang w:val="sr-Latn-RS" w:eastAsia="en-US"/>
        </w:rPr>
        <w:t xml:space="preserve"> izvještaja o sprovođenju Garantnog programa.</w:t>
      </w:r>
      <w:r w:rsidRPr="001C27A1">
        <w:rPr>
          <w:rFonts w:asciiTheme="minorHAnsi" w:hAnsiTheme="minorHAnsi"/>
          <w:sz w:val="20"/>
          <w:szCs w:val="20"/>
        </w:rPr>
        <w:t xml:space="preserve"> </w:t>
      </w:r>
      <w:r w:rsidRPr="001C27A1">
        <w:rPr>
          <w:rFonts w:asciiTheme="minorHAnsi" w:eastAsiaTheme="minorHAnsi" w:hAnsiTheme="minorHAnsi"/>
          <w:color w:val="auto"/>
          <w:sz w:val="20"/>
          <w:szCs w:val="20"/>
          <w:lang w:val="sr-Latn-RS" w:eastAsia="en-US"/>
        </w:rPr>
        <w:t>Obaveza Fonda o praćenju i izvještavanju o realizaciji Garantnog programa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19  podrške privredi za ublažavanje posljedica pandemije bolesti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RS" w:eastAsia="en-US"/>
        </w:rPr>
        <w:t xml:space="preserve">19 </w:t>
      </w:r>
      <w:r w:rsidRPr="001C27A1">
        <w:rPr>
          <w:rFonts w:asciiTheme="minorHAnsi" w:eastAsiaTheme="minorHAnsi" w:hAnsiTheme="minorHAnsi"/>
          <w:color w:val="auto"/>
          <w:sz w:val="20"/>
          <w:szCs w:val="20"/>
          <w:lang w:val="sr-Cyrl-RS" w:eastAsia="en-US"/>
        </w:rPr>
        <w:t>važi</w:t>
      </w:r>
      <w:r w:rsidRPr="001C27A1">
        <w:rPr>
          <w:rFonts w:asciiTheme="minorHAnsi" w:eastAsiaTheme="minorHAnsi" w:hAnsiTheme="minorHAnsi"/>
          <w:color w:val="auto"/>
          <w:sz w:val="20"/>
          <w:szCs w:val="20"/>
          <w:lang w:val="sr-Latn-RS" w:eastAsia="en-US"/>
        </w:rPr>
        <w:t xml:space="preserve"> do isteka svih garancija izdanih u okviru Programa.</w:t>
      </w:r>
    </w:p>
    <w:p w:rsidR="005934B2" w:rsidRPr="001C27A1" w:rsidRDefault="005934B2" w:rsidP="00A401F8">
      <w:pPr>
        <w:rPr>
          <w:rFonts w:asciiTheme="minorHAnsi" w:eastAsiaTheme="minorHAnsi" w:hAnsiTheme="minorHAnsi"/>
          <w:b/>
          <w:color w:val="auto"/>
          <w:sz w:val="20"/>
          <w:szCs w:val="20"/>
          <w:lang w:val="sr-Cyrl-RS" w:eastAsia="en-US"/>
        </w:rPr>
      </w:pPr>
    </w:p>
    <w:p w:rsidR="005934B2" w:rsidRPr="00185E75" w:rsidRDefault="005934B2" w:rsidP="00A401F8">
      <w:pPr>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 xml:space="preserve">Garantni program podrške privredi za ublažavanje posljedica pandemije bolesti COVID-19 je </w:t>
      </w:r>
      <w:r>
        <w:rPr>
          <w:rFonts w:asciiTheme="minorHAnsi" w:eastAsiaTheme="minorHAnsi" w:hAnsiTheme="minorHAnsi"/>
          <w:color w:val="auto"/>
          <w:sz w:val="20"/>
          <w:szCs w:val="20"/>
          <w:lang w:val="sr-Cyrl-BA" w:eastAsia="en-US"/>
        </w:rPr>
        <w:t>trajao do</w:t>
      </w:r>
      <w:r w:rsidRPr="001C27A1">
        <w:rPr>
          <w:rFonts w:asciiTheme="minorHAnsi" w:eastAsiaTheme="minorHAnsi" w:hAnsiTheme="minorHAnsi"/>
          <w:color w:val="auto"/>
          <w:sz w:val="20"/>
          <w:szCs w:val="20"/>
          <w:lang w:val="sr-Cyrl-BA" w:eastAsia="en-US"/>
        </w:rPr>
        <w:t xml:space="preserve"> 31.12.2022. godine, </w:t>
      </w:r>
      <w:r>
        <w:rPr>
          <w:rFonts w:asciiTheme="minorHAnsi" w:eastAsiaTheme="minorHAnsi" w:hAnsiTheme="minorHAnsi"/>
          <w:color w:val="auto"/>
          <w:sz w:val="20"/>
          <w:szCs w:val="20"/>
          <w:lang w:val="sr-Cyrl-BA" w:eastAsia="en-US"/>
        </w:rPr>
        <w:t xml:space="preserve">u smislu da </w:t>
      </w:r>
      <w:r w:rsidRPr="001C27A1">
        <w:rPr>
          <w:rFonts w:asciiTheme="minorHAnsi" w:eastAsiaTheme="minorHAnsi" w:hAnsiTheme="minorHAnsi"/>
          <w:color w:val="auto"/>
          <w:sz w:val="20"/>
          <w:szCs w:val="20"/>
          <w:lang w:val="sr-Cyrl-BA" w:eastAsia="en-US"/>
        </w:rPr>
        <w:t>od tog trenutka nije moguće uk</w:t>
      </w:r>
      <w:r>
        <w:rPr>
          <w:rFonts w:asciiTheme="minorHAnsi" w:eastAsiaTheme="minorHAnsi" w:hAnsiTheme="minorHAnsi"/>
          <w:color w:val="auto"/>
          <w:sz w:val="20"/>
          <w:szCs w:val="20"/>
          <w:lang w:val="sr-Cyrl-BA" w:eastAsia="en-US"/>
        </w:rPr>
        <w:t>ljučivanje novih kredita u portfolio</w:t>
      </w:r>
      <w:r w:rsidRPr="001C27A1">
        <w:rPr>
          <w:rFonts w:asciiTheme="minorHAnsi" w:eastAsiaTheme="minorHAnsi" w:hAnsiTheme="minorHAnsi"/>
          <w:color w:val="auto"/>
          <w:sz w:val="20"/>
          <w:szCs w:val="20"/>
          <w:lang w:val="sr-Cyrl-BA" w:eastAsia="en-US"/>
        </w:rPr>
        <w:t>. Izuzetak su plasmani gdje je ugovor o kreditu potpisan do kraja navedenog datuma, a sredstva plasirana do kraja januara 2023. godine.</w:t>
      </w:r>
      <w:r>
        <w:rPr>
          <w:rFonts w:asciiTheme="minorHAnsi" w:eastAsiaTheme="minorHAnsi" w:hAnsiTheme="minorHAnsi"/>
          <w:color w:val="auto"/>
          <w:sz w:val="20"/>
          <w:szCs w:val="20"/>
          <w:lang w:val="sr-Cyrl-BA" w:eastAsia="en-US"/>
        </w:rPr>
        <w:t xml:space="preserve"> U skladu s tim, tabela 19</w:t>
      </w:r>
      <w:r w:rsidRPr="001C27A1">
        <w:rPr>
          <w:rFonts w:asciiTheme="minorHAnsi" w:eastAsiaTheme="minorHAnsi" w:hAnsiTheme="minorHAnsi"/>
          <w:color w:val="auto"/>
          <w:sz w:val="20"/>
          <w:szCs w:val="20"/>
          <w:lang w:val="sr-Cyrl-BA" w:eastAsia="en-US"/>
        </w:rPr>
        <w:t xml:space="preserve"> daje pregled dva kredita kod kojih je ugovor potpisan u decembru 2022. godine, a sredstva isplaćena tokom januara 2023. godine. Ukupan iznos plasiranih kredita je 600.000,00 KM, dok je iznos pripad</w:t>
      </w:r>
      <w:r>
        <w:rPr>
          <w:rFonts w:asciiTheme="minorHAnsi" w:eastAsiaTheme="minorHAnsi" w:hAnsiTheme="minorHAnsi"/>
          <w:color w:val="auto"/>
          <w:sz w:val="20"/>
          <w:szCs w:val="20"/>
          <w:lang w:val="sr-Cyrl-BA" w:eastAsia="en-US"/>
        </w:rPr>
        <w:t>ajućih garancija 420.000,00 KM.</w:t>
      </w:r>
    </w:p>
    <w:p w:rsidR="005934B2" w:rsidRPr="001C27A1" w:rsidRDefault="005934B2" w:rsidP="00A401F8">
      <w:pPr>
        <w:spacing w:line="276" w:lineRule="auto"/>
        <w:rPr>
          <w:rFonts w:asciiTheme="minorHAnsi" w:eastAsiaTheme="minorHAnsi" w:hAnsiTheme="minorHAnsi"/>
          <w:color w:val="auto"/>
          <w:sz w:val="20"/>
          <w:szCs w:val="20"/>
          <w:lang w:val="sr-Cyrl-RS" w:eastAsia="en-US"/>
        </w:rPr>
      </w:pPr>
    </w:p>
    <w:p w:rsidR="005934B2" w:rsidRPr="001C27A1" w:rsidRDefault="005934B2" w:rsidP="00A401F8">
      <w:pPr>
        <w:spacing w:line="276" w:lineRule="auto"/>
        <w:jc w:val="center"/>
        <w:rPr>
          <w:rFonts w:asciiTheme="minorHAnsi" w:hAnsiTheme="minorHAnsi"/>
          <w:b/>
          <w:sz w:val="20"/>
          <w:szCs w:val="20"/>
          <w:lang w:val="sr-Cyrl-RS"/>
        </w:rPr>
      </w:pPr>
      <w:r w:rsidRPr="001C27A1">
        <w:rPr>
          <w:rFonts w:asciiTheme="minorHAnsi" w:hAnsiTheme="minorHAnsi"/>
          <w:b/>
          <w:sz w:val="20"/>
          <w:szCs w:val="20"/>
          <w:lang w:val="sr-Cyrl-RS"/>
        </w:rPr>
        <w:t xml:space="preserve">Pregled ukupno realizovanih kredita </w:t>
      </w:r>
      <w:r w:rsidRPr="001C27A1">
        <w:rPr>
          <w:rFonts w:asciiTheme="minorHAnsi" w:hAnsiTheme="minorHAnsi"/>
          <w:b/>
          <w:sz w:val="20"/>
          <w:szCs w:val="20"/>
          <w:lang w:val="sr-Cyrl-BA"/>
        </w:rPr>
        <w:t xml:space="preserve">iz Programa </w:t>
      </w:r>
      <w:r w:rsidRPr="001C27A1">
        <w:rPr>
          <w:rFonts w:asciiTheme="minorHAnsi" w:hAnsiTheme="minorHAnsi"/>
          <w:b/>
          <w:sz w:val="20"/>
          <w:szCs w:val="20"/>
        </w:rPr>
        <w:t>COVID-</w:t>
      </w:r>
      <w:r w:rsidRPr="001C27A1">
        <w:rPr>
          <w:rFonts w:asciiTheme="minorHAnsi" w:hAnsiTheme="minorHAnsi"/>
          <w:b/>
          <w:sz w:val="20"/>
          <w:szCs w:val="20"/>
          <w:lang w:val="sr-Latn-BA"/>
        </w:rPr>
        <w:t>19</w:t>
      </w:r>
      <w:r w:rsidRPr="001C27A1">
        <w:rPr>
          <w:rFonts w:asciiTheme="minorHAnsi" w:hAnsiTheme="minorHAnsi"/>
          <w:b/>
          <w:sz w:val="20"/>
          <w:szCs w:val="20"/>
          <w:lang w:val="sr-Cyrl-RS"/>
        </w:rPr>
        <w:t xml:space="preserve"> po godinama </w:t>
      </w:r>
    </w:p>
    <w:p w:rsidR="005934B2" w:rsidRPr="001C27A1" w:rsidRDefault="005934B2" w:rsidP="00A401F8">
      <w:pPr>
        <w:spacing w:line="276" w:lineRule="auto"/>
        <w:rPr>
          <w:rFonts w:asciiTheme="minorHAnsi" w:hAnsiTheme="minorHAnsi"/>
          <w:sz w:val="20"/>
          <w:szCs w:val="20"/>
          <w:lang w:val="sr-Cyrl-RS"/>
        </w:rPr>
      </w:pP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r w:rsidRPr="001C27A1">
        <w:rPr>
          <w:rFonts w:asciiTheme="minorHAnsi" w:hAnsiTheme="minorHAnsi"/>
          <w:sz w:val="20"/>
          <w:szCs w:val="20"/>
          <w:lang w:val="sr-Cyrl-RS"/>
        </w:rPr>
        <w:tab/>
      </w:r>
    </w:p>
    <w:p w:rsidR="005934B2" w:rsidRPr="001C27A1" w:rsidRDefault="005934B2" w:rsidP="00A401F8">
      <w:pPr>
        <w:spacing w:line="276" w:lineRule="auto"/>
        <w:ind w:left="6372" w:firstLine="708"/>
        <w:rPr>
          <w:rFonts w:asciiTheme="minorHAnsi" w:hAnsiTheme="minorHAnsi"/>
          <w:b/>
          <w:color w:val="auto"/>
          <w:sz w:val="20"/>
          <w:szCs w:val="20"/>
          <w:lang w:val="sr-Cyrl-RS"/>
        </w:rPr>
      </w:pPr>
      <w:r>
        <w:rPr>
          <w:rFonts w:asciiTheme="minorHAnsi" w:hAnsiTheme="minorHAnsi"/>
          <w:b/>
          <w:color w:val="auto"/>
          <w:sz w:val="20"/>
          <w:szCs w:val="20"/>
          <w:lang w:val="sr-Cyrl-RS"/>
        </w:rPr>
        <w:t xml:space="preserve">                  Tabela 13</w:t>
      </w:r>
    </w:p>
    <w:tbl>
      <w:tblPr>
        <w:tblW w:w="8804" w:type="dxa"/>
        <w:tblInd w:w="93" w:type="dxa"/>
        <w:tblLook w:val="04A0" w:firstRow="1" w:lastRow="0" w:firstColumn="1" w:lastColumn="0" w:noHBand="0" w:noVBand="1"/>
      </w:tblPr>
      <w:tblGrid>
        <w:gridCol w:w="1433"/>
        <w:gridCol w:w="1843"/>
        <w:gridCol w:w="2126"/>
        <w:gridCol w:w="1984"/>
        <w:gridCol w:w="1418"/>
      </w:tblGrid>
      <w:tr w:rsidR="005934B2" w:rsidRPr="001C27A1" w:rsidTr="000366C5">
        <w:trPr>
          <w:trHeight w:val="765"/>
        </w:trPr>
        <w:tc>
          <w:tcPr>
            <w:tcW w:w="1433"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Godina</w:t>
            </w:r>
          </w:p>
        </w:tc>
        <w:tc>
          <w:tcPr>
            <w:tcW w:w="1843"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Broj  kredita</w:t>
            </w:r>
          </w:p>
        </w:tc>
        <w:tc>
          <w:tcPr>
            <w:tcW w:w="2126"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Iznos kredita</w:t>
            </w:r>
          </w:p>
        </w:tc>
        <w:tc>
          <w:tcPr>
            <w:tcW w:w="1984" w:type="dxa"/>
            <w:tcBorders>
              <w:top w:val="single" w:sz="4" w:space="0" w:color="auto"/>
              <w:left w:val="nil"/>
              <w:bottom w:val="single" w:sz="4" w:space="0" w:color="auto"/>
              <w:right w:val="single" w:sz="4" w:space="0" w:color="auto"/>
            </w:tcBorders>
            <w:shd w:val="clear" w:color="auto" w:fill="8DB3E2" w:themeFill="text2" w:themeFillTint="66"/>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Iznos garancija</w:t>
            </w:r>
          </w:p>
        </w:tc>
        <w:tc>
          <w:tcPr>
            <w:tcW w:w="1418"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Učešće</w:t>
            </w:r>
          </w:p>
        </w:tc>
      </w:tr>
      <w:tr w:rsidR="005934B2" w:rsidRPr="001C27A1" w:rsidTr="000366C5">
        <w:trPr>
          <w:trHeight w:val="315"/>
        </w:trPr>
        <w:tc>
          <w:tcPr>
            <w:tcW w:w="1433" w:type="dxa"/>
            <w:tcBorders>
              <w:top w:val="nil"/>
              <w:left w:val="single" w:sz="4" w:space="0" w:color="auto"/>
              <w:bottom w:val="single" w:sz="4" w:space="0" w:color="auto"/>
              <w:right w:val="single" w:sz="4" w:space="0" w:color="auto"/>
            </w:tcBorders>
            <w:noWrap/>
            <w:vAlign w:val="center"/>
            <w:hideMark/>
          </w:tcPr>
          <w:p w:rsidR="005934B2" w:rsidRPr="002B5C72" w:rsidRDefault="005934B2" w:rsidP="000366C5">
            <w:pPr>
              <w:jc w:val="center"/>
              <w:rPr>
                <w:rFonts w:asciiTheme="minorHAnsi" w:hAnsiTheme="minorHAnsi"/>
                <w:sz w:val="18"/>
                <w:szCs w:val="18"/>
              </w:rPr>
            </w:pPr>
            <w:r w:rsidRPr="002B5C72">
              <w:rPr>
                <w:rFonts w:asciiTheme="minorHAnsi" w:hAnsiTheme="minorHAnsi"/>
                <w:sz w:val="18"/>
                <w:szCs w:val="18"/>
              </w:rPr>
              <w:t>2020.</w:t>
            </w:r>
          </w:p>
        </w:tc>
        <w:tc>
          <w:tcPr>
            <w:tcW w:w="1843" w:type="dxa"/>
            <w:tcBorders>
              <w:top w:val="nil"/>
              <w:left w:val="nil"/>
              <w:bottom w:val="single" w:sz="4" w:space="0" w:color="auto"/>
              <w:right w:val="single" w:sz="4" w:space="0" w:color="auto"/>
            </w:tcBorders>
            <w:noWrap/>
            <w:vAlign w:val="center"/>
            <w:hideMark/>
          </w:tcPr>
          <w:p w:rsidR="005934B2" w:rsidRPr="002B5C72" w:rsidRDefault="005934B2" w:rsidP="000366C5">
            <w:pPr>
              <w:jc w:val="center"/>
              <w:rPr>
                <w:rFonts w:asciiTheme="minorHAnsi" w:hAnsiTheme="minorHAnsi"/>
                <w:sz w:val="18"/>
                <w:szCs w:val="18"/>
              </w:rPr>
            </w:pPr>
            <w:r w:rsidRPr="002B5C72">
              <w:rPr>
                <w:rFonts w:asciiTheme="minorHAnsi" w:hAnsiTheme="minorHAnsi"/>
                <w:sz w:val="18"/>
                <w:szCs w:val="18"/>
              </w:rPr>
              <w:t>94</w:t>
            </w:r>
          </w:p>
        </w:tc>
        <w:tc>
          <w:tcPr>
            <w:tcW w:w="2126"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9.751.501,</w:t>
            </w:r>
            <w:r w:rsidRPr="002B5C72">
              <w:rPr>
                <w:rFonts w:asciiTheme="minorHAnsi" w:hAnsiTheme="minorHAnsi"/>
                <w:sz w:val="18"/>
                <w:szCs w:val="18"/>
                <w:lang w:val="sr-Cyrl-RS"/>
              </w:rPr>
              <w:t>0</w:t>
            </w:r>
            <w:r w:rsidRPr="002B5C72">
              <w:rPr>
                <w:rFonts w:asciiTheme="minorHAnsi" w:hAnsiTheme="minorHAnsi"/>
                <w:sz w:val="18"/>
                <w:szCs w:val="18"/>
              </w:rPr>
              <w:t>0</w:t>
            </w:r>
          </w:p>
        </w:tc>
        <w:tc>
          <w:tcPr>
            <w:tcW w:w="1984"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sz w:val="18"/>
                <w:szCs w:val="18"/>
                <w:lang w:val="sr-Cyrl-RS"/>
              </w:rPr>
            </w:pPr>
            <w:r w:rsidRPr="002B5C72">
              <w:rPr>
                <w:rFonts w:asciiTheme="minorHAnsi" w:hAnsiTheme="minorHAnsi"/>
                <w:sz w:val="18"/>
                <w:szCs w:val="18"/>
              </w:rPr>
              <w:t>6.826.051,</w:t>
            </w:r>
            <w:r w:rsidRPr="002B5C72">
              <w:rPr>
                <w:rFonts w:asciiTheme="minorHAnsi" w:hAnsiTheme="minorHAnsi"/>
                <w:sz w:val="18"/>
                <w:szCs w:val="18"/>
                <w:lang w:val="sr-Cyrl-RS"/>
              </w:rPr>
              <w:t>70</w:t>
            </w:r>
          </w:p>
        </w:tc>
        <w:tc>
          <w:tcPr>
            <w:tcW w:w="1418"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16,01%</w:t>
            </w:r>
          </w:p>
        </w:tc>
      </w:tr>
      <w:tr w:rsidR="005934B2" w:rsidRPr="001C27A1" w:rsidTr="000366C5">
        <w:trPr>
          <w:trHeight w:val="315"/>
        </w:trPr>
        <w:tc>
          <w:tcPr>
            <w:tcW w:w="1433" w:type="dxa"/>
            <w:tcBorders>
              <w:top w:val="nil"/>
              <w:left w:val="single" w:sz="4" w:space="0" w:color="auto"/>
              <w:bottom w:val="single" w:sz="4" w:space="0" w:color="auto"/>
              <w:right w:val="single" w:sz="4" w:space="0" w:color="auto"/>
            </w:tcBorders>
            <w:noWrap/>
            <w:vAlign w:val="center"/>
            <w:hideMark/>
          </w:tcPr>
          <w:p w:rsidR="005934B2" w:rsidRPr="002B5C72" w:rsidRDefault="005934B2" w:rsidP="000366C5">
            <w:pPr>
              <w:jc w:val="center"/>
              <w:rPr>
                <w:rFonts w:asciiTheme="minorHAnsi" w:hAnsiTheme="minorHAnsi"/>
                <w:sz w:val="18"/>
                <w:szCs w:val="18"/>
              </w:rPr>
            </w:pPr>
            <w:r w:rsidRPr="002B5C72">
              <w:rPr>
                <w:rFonts w:asciiTheme="minorHAnsi" w:hAnsiTheme="minorHAnsi"/>
                <w:sz w:val="18"/>
                <w:szCs w:val="18"/>
              </w:rPr>
              <w:t>2021.</w:t>
            </w:r>
          </w:p>
        </w:tc>
        <w:tc>
          <w:tcPr>
            <w:tcW w:w="1843" w:type="dxa"/>
            <w:tcBorders>
              <w:top w:val="nil"/>
              <w:left w:val="nil"/>
              <w:bottom w:val="single" w:sz="4" w:space="0" w:color="auto"/>
              <w:right w:val="single" w:sz="4" w:space="0" w:color="auto"/>
            </w:tcBorders>
            <w:noWrap/>
            <w:vAlign w:val="center"/>
            <w:hideMark/>
          </w:tcPr>
          <w:p w:rsidR="005934B2" w:rsidRPr="002B5C72" w:rsidRDefault="005934B2" w:rsidP="000366C5">
            <w:pPr>
              <w:jc w:val="center"/>
              <w:rPr>
                <w:rFonts w:asciiTheme="minorHAnsi" w:hAnsiTheme="minorHAnsi"/>
                <w:sz w:val="18"/>
                <w:szCs w:val="18"/>
              </w:rPr>
            </w:pPr>
            <w:r w:rsidRPr="002B5C72">
              <w:rPr>
                <w:rFonts w:asciiTheme="minorHAnsi" w:hAnsiTheme="minorHAnsi"/>
                <w:sz w:val="18"/>
                <w:szCs w:val="18"/>
              </w:rPr>
              <w:t>238</w:t>
            </w:r>
          </w:p>
        </w:tc>
        <w:tc>
          <w:tcPr>
            <w:tcW w:w="2126"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sz w:val="18"/>
                <w:szCs w:val="18"/>
                <w:lang w:val="sr-Cyrl-RS"/>
              </w:rPr>
            </w:pPr>
            <w:r w:rsidRPr="002B5C72">
              <w:rPr>
                <w:rFonts w:asciiTheme="minorHAnsi" w:hAnsiTheme="minorHAnsi"/>
                <w:sz w:val="18"/>
                <w:szCs w:val="18"/>
              </w:rPr>
              <w:t>32.556.</w:t>
            </w:r>
            <w:r w:rsidRPr="002B5C72">
              <w:rPr>
                <w:rFonts w:asciiTheme="minorHAnsi" w:hAnsiTheme="minorHAnsi"/>
                <w:sz w:val="18"/>
                <w:szCs w:val="18"/>
                <w:lang w:val="sr-Cyrl-RS"/>
              </w:rPr>
              <w:t>128,00</w:t>
            </w:r>
          </w:p>
        </w:tc>
        <w:tc>
          <w:tcPr>
            <w:tcW w:w="1984"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sz w:val="18"/>
                <w:szCs w:val="18"/>
                <w:lang w:val="sr-Cyrl-RS"/>
              </w:rPr>
            </w:pPr>
            <w:r w:rsidRPr="002B5C72">
              <w:rPr>
                <w:rFonts w:asciiTheme="minorHAnsi" w:hAnsiTheme="minorHAnsi"/>
                <w:sz w:val="18"/>
                <w:szCs w:val="18"/>
              </w:rPr>
              <w:t>22.789.289,</w:t>
            </w:r>
            <w:r w:rsidRPr="002B5C72">
              <w:rPr>
                <w:rFonts w:asciiTheme="minorHAnsi" w:hAnsiTheme="minorHAnsi"/>
                <w:sz w:val="18"/>
                <w:szCs w:val="18"/>
                <w:lang w:val="sr-Cyrl-RS"/>
              </w:rPr>
              <w:t>60</w:t>
            </w:r>
          </w:p>
        </w:tc>
        <w:tc>
          <w:tcPr>
            <w:tcW w:w="1418"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53,45%</w:t>
            </w:r>
          </w:p>
        </w:tc>
      </w:tr>
      <w:tr w:rsidR="005934B2" w:rsidRPr="001C27A1" w:rsidTr="000366C5">
        <w:trPr>
          <w:trHeight w:val="315"/>
        </w:trPr>
        <w:tc>
          <w:tcPr>
            <w:tcW w:w="1433" w:type="dxa"/>
            <w:tcBorders>
              <w:top w:val="nil"/>
              <w:left w:val="single" w:sz="4" w:space="0" w:color="auto"/>
              <w:bottom w:val="single" w:sz="4" w:space="0" w:color="auto"/>
              <w:right w:val="single" w:sz="4" w:space="0" w:color="auto"/>
            </w:tcBorders>
            <w:noWrap/>
            <w:vAlign w:val="center"/>
            <w:hideMark/>
          </w:tcPr>
          <w:p w:rsidR="005934B2" w:rsidRPr="002B5C72" w:rsidRDefault="005934B2" w:rsidP="000366C5">
            <w:pPr>
              <w:jc w:val="center"/>
              <w:rPr>
                <w:rFonts w:asciiTheme="minorHAnsi" w:hAnsiTheme="minorHAnsi"/>
                <w:sz w:val="18"/>
                <w:szCs w:val="18"/>
              </w:rPr>
            </w:pPr>
            <w:r w:rsidRPr="002B5C72">
              <w:rPr>
                <w:rFonts w:asciiTheme="minorHAnsi" w:hAnsiTheme="minorHAnsi"/>
                <w:sz w:val="18"/>
                <w:szCs w:val="18"/>
              </w:rPr>
              <w:t>2022.</w:t>
            </w:r>
          </w:p>
        </w:tc>
        <w:tc>
          <w:tcPr>
            <w:tcW w:w="1843" w:type="dxa"/>
            <w:tcBorders>
              <w:top w:val="nil"/>
              <w:left w:val="nil"/>
              <w:bottom w:val="single" w:sz="4" w:space="0" w:color="auto"/>
              <w:right w:val="single" w:sz="4" w:space="0" w:color="auto"/>
            </w:tcBorders>
            <w:noWrap/>
            <w:vAlign w:val="center"/>
            <w:hideMark/>
          </w:tcPr>
          <w:p w:rsidR="005934B2" w:rsidRPr="002B5C72" w:rsidRDefault="005934B2" w:rsidP="000366C5">
            <w:pPr>
              <w:jc w:val="center"/>
              <w:rPr>
                <w:rFonts w:asciiTheme="minorHAnsi" w:hAnsiTheme="minorHAnsi"/>
                <w:sz w:val="18"/>
                <w:szCs w:val="18"/>
              </w:rPr>
            </w:pPr>
            <w:r w:rsidRPr="002B5C72">
              <w:rPr>
                <w:rFonts w:asciiTheme="minorHAnsi" w:hAnsiTheme="minorHAnsi"/>
                <w:sz w:val="18"/>
                <w:szCs w:val="18"/>
              </w:rPr>
              <w:t>82</w:t>
            </w:r>
          </w:p>
        </w:tc>
        <w:tc>
          <w:tcPr>
            <w:tcW w:w="2126"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color w:val="000000" w:themeColor="text1"/>
                <w:sz w:val="18"/>
                <w:szCs w:val="18"/>
              </w:rPr>
            </w:pPr>
            <w:r w:rsidRPr="002B5C72">
              <w:rPr>
                <w:rFonts w:asciiTheme="minorHAnsi" w:hAnsiTheme="minorHAnsi"/>
                <w:color w:val="000000" w:themeColor="text1"/>
                <w:sz w:val="18"/>
                <w:szCs w:val="18"/>
              </w:rPr>
              <w:t>18.003.000,01</w:t>
            </w:r>
          </w:p>
        </w:tc>
        <w:tc>
          <w:tcPr>
            <w:tcW w:w="1984"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color w:val="000000" w:themeColor="text1"/>
                <w:sz w:val="18"/>
                <w:szCs w:val="18"/>
                <w:lang w:val="sr-Cyrl-RS"/>
              </w:rPr>
            </w:pPr>
            <w:r w:rsidRPr="002B5C72">
              <w:rPr>
                <w:rFonts w:asciiTheme="minorHAnsi" w:hAnsiTheme="minorHAnsi"/>
                <w:color w:val="000000" w:themeColor="text1"/>
                <w:sz w:val="18"/>
                <w:szCs w:val="18"/>
              </w:rPr>
              <w:t>12.602.100,0</w:t>
            </w:r>
            <w:r w:rsidRPr="002B5C72">
              <w:rPr>
                <w:rFonts w:asciiTheme="minorHAnsi" w:hAnsiTheme="minorHAnsi"/>
                <w:color w:val="000000" w:themeColor="text1"/>
                <w:sz w:val="18"/>
                <w:szCs w:val="18"/>
                <w:lang w:val="sr-Cyrl-RS"/>
              </w:rPr>
              <w:t>0</w:t>
            </w:r>
          </w:p>
        </w:tc>
        <w:tc>
          <w:tcPr>
            <w:tcW w:w="1418" w:type="dxa"/>
            <w:tcBorders>
              <w:top w:val="nil"/>
              <w:left w:val="nil"/>
              <w:bottom w:val="single" w:sz="4" w:space="0" w:color="auto"/>
              <w:right w:val="single" w:sz="4" w:space="0" w:color="auto"/>
            </w:tcBorders>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lang w:val="sr-Cyrl-RS"/>
              </w:rPr>
              <w:t>29,56</w:t>
            </w:r>
            <w:r w:rsidRPr="002B5C72">
              <w:rPr>
                <w:rFonts w:asciiTheme="minorHAnsi" w:hAnsiTheme="minorHAnsi"/>
                <w:sz w:val="18"/>
                <w:szCs w:val="18"/>
              </w:rPr>
              <w:t>%</w:t>
            </w:r>
          </w:p>
        </w:tc>
      </w:tr>
      <w:tr w:rsidR="005934B2" w:rsidRPr="001C27A1" w:rsidTr="000366C5">
        <w:trPr>
          <w:trHeight w:val="315"/>
        </w:trPr>
        <w:tc>
          <w:tcPr>
            <w:tcW w:w="1433" w:type="dxa"/>
            <w:tcBorders>
              <w:top w:val="nil"/>
              <w:left w:val="single" w:sz="4" w:space="0" w:color="auto"/>
              <w:bottom w:val="single" w:sz="4" w:space="0" w:color="auto"/>
              <w:right w:val="single" w:sz="4" w:space="0" w:color="auto"/>
            </w:tcBorders>
            <w:shd w:val="clear" w:color="auto" w:fill="F2F2F2" w:themeFill="background1" w:themeFillShade="F2"/>
            <w:noWrap/>
            <w:vAlign w:val="center"/>
          </w:tcPr>
          <w:p w:rsidR="005934B2" w:rsidRPr="002B5C72" w:rsidRDefault="005934B2" w:rsidP="000366C5">
            <w:pPr>
              <w:jc w:val="center"/>
              <w:rPr>
                <w:rFonts w:asciiTheme="minorHAnsi" w:hAnsiTheme="minorHAnsi"/>
                <w:bCs/>
                <w:sz w:val="18"/>
                <w:szCs w:val="18"/>
              </w:rPr>
            </w:pPr>
            <w:r w:rsidRPr="002B5C72">
              <w:rPr>
                <w:rFonts w:asciiTheme="minorHAnsi" w:hAnsiTheme="minorHAnsi"/>
                <w:bCs/>
                <w:sz w:val="18"/>
                <w:szCs w:val="18"/>
              </w:rPr>
              <w:t>2023.</w:t>
            </w:r>
          </w:p>
        </w:tc>
        <w:tc>
          <w:tcPr>
            <w:tcW w:w="1843" w:type="dxa"/>
            <w:tcBorders>
              <w:top w:val="nil"/>
              <w:left w:val="nil"/>
              <w:bottom w:val="single" w:sz="4" w:space="0" w:color="auto"/>
              <w:right w:val="single" w:sz="4" w:space="0" w:color="auto"/>
            </w:tcBorders>
            <w:shd w:val="clear" w:color="auto" w:fill="F2F2F2" w:themeFill="background1" w:themeFillShade="F2"/>
            <w:noWrap/>
            <w:vAlign w:val="center"/>
          </w:tcPr>
          <w:p w:rsidR="005934B2" w:rsidRPr="002B5C72" w:rsidRDefault="005934B2" w:rsidP="000366C5">
            <w:pPr>
              <w:jc w:val="center"/>
              <w:rPr>
                <w:rFonts w:asciiTheme="minorHAnsi" w:hAnsiTheme="minorHAnsi"/>
                <w:bCs/>
                <w:sz w:val="18"/>
                <w:szCs w:val="18"/>
              </w:rPr>
            </w:pPr>
            <w:r w:rsidRPr="002B5C72">
              <w:rPr>
                <w:rFonts w:asciiTheme="minorHAnsi" w:hAnsiTheme="minorHAnsi"/>
                <w:bCs/>
                <w:sz w:val="18"/>
                <w:szCs w:val="18"/>
              </w:rPr>
              <w:t>2</w:t>
            </w:r>
          </w:p>
        </w:tc>
        <w:tc>
          <w:tcPr>
            <w:tcW w:w="2126" w:type="dxa"/>
            <w:tcBorders>
              <w:top w:val="nil"/>
              <w:left w:val="nil"/>
              <w:bottom w:val="single" w:sz="4" w:space="0" w:color="auto"/>
              <w:right w:val="single" w:sz="4" w:space="0" w:color="auto"/>
            </w:tcBorders>
            <w:shd w:val="clear" w:color="auto" w:fill="F2F2F2" w:themeFill="background1" w:themeFillShade="F2"/>
            <w:noWrap/>
            <w:vAlign w:val="center"/>
          </w:tcPr>
          <w:p w:rsidR="005934B2" w:rsidRPr="002B5C72" w:rsidRDefault="005934B2" w:rsidP="000366C5">
            <w:pPr>
              <w:jc w:val="right"/>
              <w:rPr>
                <w:rFonts w:asciiTheme="minorHAnsi" w:hAnsiTheme="minorHAnsi"/>
                <w:bCs/>
                <w:sz w:val="18"/>
                <w:szCs w:val="18"/>
              </w:rPr>
            </w:pPr>
            <w:r w:rsidRPr="002B5C72">
              <w:rPr>
                <w:rFonts w:asciiTheme="minorHAnsi" w:hAnsiTheme="minorHAnsi"/>
                <w:bCs/>
                <w:sz w:val="18"/>
                <w:szCs w:val="18"/>
              </w:rPr>
              <w:t>600.000,00</w:t>
            </w:r>
          </w:p>
        </w:tc>
        <w:tc>
          <w:tcPr>
            <w:tcW w:w="1984" w:type="dxa"/>
            <w:tcBorders>
              <w:top w:val="nil"/>
              <w:left w:val="nil"/>
              <w:bottom w:val="single" w:sz="4" w:space="0" w:color="auto"/>
              <w:right w:val="single" w:sz="4" w:space="0" w:color="auto"/>
            </w:tcBorders>
            <w:shd w:val="clear" w:color="auto" w:fill="F2F2F2" w:themeFill="background1" w:themeFillShade="F2"/>
            <w:noWrap/>
            <w:vAlign w:val="center"/>
          </w:tcPr>
          <w:p w:rsidR="005934B2" w:rsidRPr="002B5C72" w:rsidRDefault="005934B2" w:rsidP="000366C5">
            <w:pPr>
              <w:jc w:val="right"/>
              <w:rPr>
                <w:rFonts w:asciiTheme="minorHAnsi" w:hAnsiTheme="minorHAnsi"/>
                <w:bCs/>
                <w:sz w:val="18"/>
                <w:szCs w:val="18"/>
              </w:rPr>
            </w:pPr>
            <w:r w:rsidRPr="002B5C72">
              <w:rPr>
                <w:rFonts w:asciiTheme="minorHAnsi" w:hAnsiTheme="minorHAnsi"/>
                <w:bCs/>
                <w:sz w:val="18"/>
                <w:szCs w:val="18"/>
              </w:rPr>
              <w:t>420.000,00</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tcPr>
          <w:p w:rsidR="005934B2" w:rsidRPr="002B5C72" w:rsidRDefault="005934B2" w:rsidP="000366C5">
            <w:pPr>
              <w:jc w:val="right"/>
              <w:rPr>
                <w:rFonts w:asciiTheme="minorHAnsi" w:hAnsiTheme="minorHAnsi"/>
                <w:bCs/>
                <w:sz w:val="18"/>
                <w:szCs w:val="18"/>
                <w:lang w:val="sr-Cyrl-RS"/>
              </w:rPr>
            </w:pPr>
            <w:r w:rsidRPr="002B5C72">
              <w:rPr>
                <w:rFonts w:asciiTheme="minorHAnsi" w:hAnsiTheme="minorHAnsi"/>
                <w:bCs/>
                <w:sz w:val="18"/>
                <w:szCs w:val="18"/>
                <w:lang w:val="sr-Cyrl-RS"/>
              </w:rPr>
              <w:t>0,98%</w:t>
            </w:r>
          </w:p>
        </w:tc>
      </w:tr>
      <w:tr w:rsidR="005934B2" w:rsidRPr="001C27A1" w:rsidTr="000366C5">
        <w:trPr>
          <w:trHeight w:val="315"/>
        </w:trPr>
        <w:tc>
          <w:tcPr>
            <w:tcW w:w="1433" w:type="dxa"/>
            <w:tcBorders>
              <w:top w:val="nil"/>
              <w:left w:val="single" w:sz="4" w:space="0" w:color="auto"/>
              <w:bottom w:val="single" w:sz="4" w:space="0" w:color="auto"/>
              <w:right w:val="single" w:sz="4" w:space="0" w:color="auto"/>
            </w:tcBorders>
            <w:shd w:val="clear" w:color="auto" w:fill="8DB3E2" w:themeFill="text2" w:themeFillTint="66"/>
            <w:noWrap/>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lang w:val="sr-Cyrl-BA"/>
              </w:rPr>
              <w:t>Ukupno</w:t>
            </w:r>
          </w:p>
        </w:tc>
        <w:tc>
          <w:tcPr>
            <w:tcW w:w="1843" w:type="dxa"/>
            <w:tcBorders>
              <w:top w:val="nil"/>
              <w:left w:val="nil"/>
              <w:bottom w:val="single" w:sz="4" w:space="0" w:color="auto"/>
              <w:right w:val="single" w:sz="4" w:space="0" w:color="auto"/>
            </w:tcBorders>
            <w:shd w:val="clear" w:color="auto" w:fill="8DB3E2" w:themeFill="text2" w:themeFillTint="66"/>
            <w:noWrap/>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416</w:t>
            </w:r>
          </w:p>
        </w:tc>
        <w:tc>
          <w:tcPr>
            <w:tcW w:w="2126" w:type="dxa"/>
            <w:tcBorders>
              <w:top w:val="nil"/>
              <w:left w:val="nil"/>
              <w:bottom w:val="single" w:sz="4" w:space="0" w:color="auto"/>
              <w:right w:val="single" w:sz="4" w:space="0" w:color="auto"/>
            </w:tcBorders>
            <w:shd w:val="clear" w:color="auto" w:fill="8DB3E2" w:themeFill="text2" w:themeFillTint="66"/>
            <w:noWrap/>
            <w:vAlign w:val="center"/>
            <w:hideMark/>
          </w:tcPr>
          <w:p w:rsidR="005934B2" w:rsidRPr="002B5C72" w:rsidRDefault="005934B2" w:rsidP="000366C5">
            <w:pPr>
              <w:jc w:val="right"/>
              <w:rPr>
                <w:rFonts w:asciiTheme="minorHAnsi" w:hAnsiTheme="minorHAnsi"/>
                <w:b/>
                <w:bCs/>
                <w:sz w:val="18"/>
                <w:szCs w:val="18"/>
                <w:lang w:val="sr-Cyrl-RS"/>
              </w:rPr>
            </w:pPr>
            <w:r w:rsidRPr="002B5C72">
              <w:rPr>
                <w:rFonts w:asciiTheme="minorHAnsi" w:hAnsiTheme="minorHAnsi"/>
                <w:b/>
                <w:bCs/>
                <w:sz w:val="18"/>
                <w:szCs w:val="18"/>
              </w:rPr>
              <w:t>60.910.629,</w:t>
            </w:r>
            <w:r w:rsidRPr="002B5C72">
              <w:rPr>
                <w:rFonts w:asciiTheme="minorHAnsi" w:hAnsiTheme="minorHAnsi"/>
                <w:b/>
                <w:bCs/>
                <w:sz w:val="18"/>
                <w:szCs w:val="18"/>
                <w:lang w:val="sr-Cyrl-RS"/>
              </w:rPr>
              <w:t>00</w:t>
            </w:r>
          </w:p>
        </w:tc>
        <w:tc>
          <w:tcPr>
            <w:tcW w:w="1984" w:type="dxa"/>
            <w:tcBorders>
              <w:top w:val="nil"/>
              <w:left w:val="nil"/>
              <w:bottom w:val="single" w:sz="4" w:space="0" w:color="auto"/>
              <w:right w:val="single" w:sz="4" w:space="0" w:color="auto"/>
            </w:tcBorders>
            <w:shd w:val="clear" w:color="auto" w:fill="8DB3E2" w:themeFill="text2" w:themeFillTint="66"/>
            <w:noWrap/>
            <w:vAlign w:val="center"/>
            <w:hideMark/>
          </w:tcPr>
          <w:p w:rsidR="005934B2" w:rsidRPr="002B5C72" w:rsidRDefault="005934B2" w:rsidP="000366C5">
            <w:pPr>
              <w:jc w:val="right"/>
              <w:rPr>
                <w:rFonts w:asciiTheme="minorHAnsi" w:hAnsiTheme="minorHAnsi"/>
                <w:b/>
                <w:bCs/>
                <w:sz w:val="18"/>
                <w:szCs w:val="18"/>
                <w:lang w:val="sr-Cyrl-RS"/>
              </w:rPr>
            </w:pPr>
            <w:r w:rsidRPr="002B5C72">
              <w:rPr>
                <w:rFonts w:asciiTheme="minorHAnsi" w:hAnsiTheme="minorHAnsi"/>
                <w:b/>
                <w:bCs/>
                <w:sz w:val="18"/>
                <w:szCs w:val="18"/>
              </w:rPr>
              <w:t>42.637.440,</w:t>
            </w:r>
            <w:r w:rsidRPr="002B5C72">
              <w:rPr>
                <w:rFonts w:asciiTheme="minorHAnsi" w:hAnsiTheme="minorHAnsi"/>
                <w:b/>
                <w:bCs/>
                <w:sz w:val="18"/>
                <w:szCs w:val="18"/>
                <w:lang w:val="sr-Cyrl-RS"/>
              </w:rPr>
              <w:t>30</w:t>
            </w:r>
          </w:p>
        </w:tc>
        <w:tc>
          <w:tcPr>
            <w:tcW w:w="1418" w:type="dxa"/>
            <w:tcBorders>
              <w:top w:val="nil"/>
              <w:left w:val="nil"/>
              <w:bottom w:val="single" w:sz="4" w:space="0" w:color="auto"/>
              <w:right w:val="single" w:sz="4" w:space="0" w:color="auto"/>
            </w:tcBorders>
            <w:shd w:val="clear" w:color="auto" w:fill="8DB3E2" w:themeFill="text2" w:themeFillTint="66"/>
            <w:noWrap/>
            <w:vAlign w:val="center"/>
            <w:hideMark/>
          </w:tcPr>
          <w:p w:rsidR="005934B2" w:rsidRPr="002B5C72" w:rsidRDefault="005934B2" w:rsidP="000366C5">
            <w:pPr>
              <w:jc w:val="right"/>
              <w:rPr>
                <w:rFonts w:asciiTheme="minorHAnsi" w:hAnsiTheme="minorHAnsi"/>
                <w:b/>
                <w:bCs/>
                <w:sz w:val="18"/>
                <w:szCs w:val="18"/>
              </w:rPr>
            </w:pPr>
            <w:r w:rsidRPr="002B5C72">
              <w:rPr>
                <w:rFonts w:asciiTheme="minorHAnsi" w:hAnsiTheme="minorHAnsi"/>
                <w:b/>
                <w:bCs/>
                <w:sz w:val="18"/>
                <w:szCs w:val="18"/>
              </w:rPr>
              <w:t>100,00%</w:t>
            </w:r>
          </w:p>
        </w:tc>
      </w:tr>
    </w:tbl>
    <w:p w:rsidR="005934B2" w:rsidRPr="001C27A1" w:rsidRDefault="005934B2" w:rsidP="00A401F8">
      <w:pPr>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RS" w:eastAsia="en-US"/>
        </w:rPr>
        <w:t xml:space="preserve"> </w:t>
      </w:r>
    </w:p>
    <w:p w:rsidR="005934B2" w:rsidRDefault="005934B2" w:rsidP="00A401F8">
      <w:pPr>
        <w:rPr>
          <w:rFonts w:asciiTheme="minorHAnsi" w:eastAsiaTheme="minorHAnsi" w:hAnsiTheme="minorHAnsi"/>
          <w:color w:val="auto"/>
          <w:sz w:val="20"/>
          <w:szCs w:val="20"/>
          <w:lang w:val="sr-Cyrl-RS" w:eastAsia="en-US"/>
        </w:rPr>
      </w:pPr>
    </w:p>
    <w:p w:rsidR="005934B2" w:rsidRDefault="005934B2" w:rsidP="00A401F8">
      <w:pPr>
        <w:rPr>
          <w:rFonts w:asciiTheme="minorHAnsi" w:eastAsiaTheme="minorHAnsi" w:hAnsiTheme="minorHAnsi"/>
          <w:color w:val="auto"/>
          <w:sz w:val="20"/>
          <w:szCs w:val="20"/>
          <w:lang w:val="sr-Cyrl-RS" w:eastAsia="en-US"/>
        </w:rPr>
      </w:pPr>
    </w:p>
    <w:p w:rsidR="005934B2" w:rsidRDefault="005934B2" w:rsidP="00A401F8">
      <w:pPr>
        <w:rPr>
          <w:rFonts w:asciiTheme="minorHAnsi" w:eastAsiaTheme="minorHAnsi" w:hAnsiTheme="minorHAnsi"/>
          <w:color w:val="auto"/>
          <w:sz w:val="20"/>
          <w:szCs w:val="20"/>
          <w:lang w:val="sr-Cyrl-RS" w:eastAsia="en-US"/>
        </w:rPr>
      </w:pPr>
    </w:p>
    <w:p w:rsidR="005934B2" w:rsidRPr="001C27A1" w:rsidRDefault="005934B2" w:rsidP="00A401F8">
      <w:pPr>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RS" w:eastAsia="en-US"/>
        </w:rPr>
        <w:t xml:space="preserve">Od početka Garantnog programa u septembru 2020. godine do kraja januara 2023. godine, koji je bio poslednji mogući mjesec za uključenje kredita u portfelj, u okviru Programa je plasirano 416 kredita ukupnog iznosa 60.910.629,71 KM, gdje pripadajuće garancije iznose 42.637.440,80 KM. Od ukupno plasiranih kredita i garancija za cijeli period realizacije </w:t>
      </w:r>
      <w:r w:rsidRPr="001C27A1">
        <w:rPr>
          <w:rFonts w:asciiTheme="minorHAnsi" w:eastAsiaTheme="minorHAnsi" w:hAnsiTheme="minorHAnsi"/>
          <w:color w:val="auto"/>
          <w:sz w:val="20"/>
          <w:szCs w:val="20"/>
          <w:lang w:val="sr-Cyrl-BA" w:eastAsia="en-US"/>
        </w:rPr>
        <w:t xml:space="preserve">Garantnog programa </w:t>
      </w:r>
      <w:r w:rsidRPr="001C27A1">
        <w:rPr>
          <w:rFonts w:asciiTheme="minorHAnsi" w:eastAsiaTheme="minorHAnsi" w:hAnsiTheme="minorHAnsi"/>
          <w:color w:val="auto"/>
          <w:sz w:val="20"/>
          <w:szCs w:val="20"/>
          <w:lang w:val="sr-Latn-BA" w:eastAsia="en-US"/>
        </w:rPr>
        <w:t xml:space="preserve"> COVID</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color w:val="auto"/>
          <w:sz w:val="20"/>
          <w:szCs w:val="20"/>
          <w:lang w:val="sr-Latn-BA" w:eastAsia="en-US"/>
        </w:rPr>
        <w:t>19</w:t>
      </w:r>
      <w:r w:rsidRPr="001C27A1">
        <w:rPr>
          <w:rFonts w:asciiTheme="minorHAnsi" w:eastAsiaTheme="minorHAnsi" w:hAnsiTheme="minorHAnsi"/>
          <w:color w:val="auto"/>
          <w:sz w:val="20"/>
          <w:szCs w:val="20"/>
          <w:lang w:val="sr-Cyrl-RS" w:eastAsia="en-US"/>
        </w:rPr>
        <w:t>,</w:t>
      </w:r>
      <w:r w:rsidRPr="001C27A1">
        <w:rPr>
          <w:rFonts w:asciiTheme="minorHAnsi" w:eastAsiaTheme="minorHAnsi" w:hAnsiTheme="minorHAnsi"/>
          <w:b/>
          <w:color w:val="auto"/>
          <w:sz w:val="20"/>
          <w:szCs w:val="20"/>
          <w:lang w:val="sr-Latn-BA" w:eastAsia="en-US"/>
        </w:rPr>
        <w:t xml:space="preserve"> </w:t>
      </w:r>
      <w:r w:rsidRPr="001C27A1">
        <w:rPr>
          <w:rFonts w:asciiTheme="minorHAnsi" w:eastAsiaTheme="minorHAnsi" w:hAnsiTheme="minorHAnsi"/>
          <w:color w:val="auto"/>
          <w:sz w:val="20"/>
          <w:szCs w:val="20"/>
          <w:lang w:val="sr-Cyrl-RS" w:eastAsia="en-US"/>
        </w:rPr>
        <w:t xml:space="preserve"> najviše ih je plasirano u 2021. godini (53,45%).</w:t>
      </w:r>
    </w:p>
    <w:p w:rsidR="005934B2" w:rsidRPr="001C27A1" w:rsidRDefault="005934B2" w:rsidP="00A401F8">
      <w:pPr>
        <w:jc w:val="center"/>
        <w:rPr>
          <w:rFonts w:asciiTheme="minorHAnsi" w:eastAsiaTheme="minorHAnsi" w:hAnsiTheme="minorHAnsi"/>
          <w:color w:val="auto"/>
          <w:sz w:val="20"/>
          <w:szCs w:val="20"/>
          <w:lang w:val="sr-Cyrl-RS" w:eastAsia="en-US"/>
        </w:rPr>
      </w:pPr>
      <w:r w:rsidRPr="001C27A1">
        <w:rPr>
          <w:rFonts w:asciiTheme="minorHAnsi" w:eastAsiaTheme="minorHAnsi" w:hAnsiTheme="minorHAnsi"/>
          <w:b/>
          <w:color w:val="auto"/>
          <w:sz w:val="20"/>
          <w:szCs w:val="20"/>
          <w:lang w:val="sr-Cyrl-RS" w:eastAsia="en-US"/>
        </w:rPr>
        <w:br/>
        <w:t xml:space="preserve">Pregled realizovanih kredita </w:t>
      </w:r>
      <w:r w:rsidRPr="001C27A1">
        <w:rPr>
          <w:rFonts w:asciiTheme="minorHAnsi" w:eastAsiaTheme="minorHAnsi" w:hAnsiTheme="minorHAnsi"/>
          <w:b/>
          <w:color w:val="auto"/>
          <w:sz w:val="20"/>
          <w:szCs w:val="20"/>
          <w:lang w:val="sr-Cyrl-BA" w:eastAsia="en-US"/>
        </w:rPr>
        <w:t xml:space="preserve">iz Programa </w:t>
      </w:r>
      <w:r w:rsidRPr="001C27A1">
        <w:rPr>
          <w:rFonts w:asciiTheme="minorHAnsi" w:eastAsiaTheme="minorHAnsi" w:hAnsiTheme="minorHAnsi"/>
          <w:b/>
          <w:color w:val="auto"/>
          <w:sz w:val="20"/>
          <w:szCs w:val="20"/>
          <w:lang w:val="sr-Latn-BA" w:eastAsia="en-US"/>
        </w:rPr>
        <w:t>COVID</w:t>
      </w:r>
      <w:r w:rsidRPr="001C27A1">
        <w:rPr>
          <w:rFonts w:asciiTheme="minorHAnsi" w:eastAsiaTheme="minorHAnsi" w:hAnsiTheme="minorHAnsi"/>
          <w:b/>
          <w:color w:val="auto"/>
          <w:sz w:val="20"/>
          <w:szCs w:val="20"/>
          <w:lang w:val="sr-Cyrl-RS" w:eastAsia="en-US"/>
        </w:rPr>
        <w:t>-</w:t>
      </w:r>
      <w:r w:rsidRPr="001C27A1">
        <w:rPr>
          <w:rFonts w:asciiTheme="minorHAnsi" w:eastAsiaTheme="minorHAnsi" w:hAnsiTheme="minorHAnsi"/>
          <w:b/>
          <w:color w:val="auto"/>
          <w:sz w:val="20"/>
          <w:szCs w:val="20"/>
          <w:lang w:val="sr-Latn-BA" w:eastAsia="en-US"/>
        </w:rPr>
        <w:t>19</w:t>
      </w:r>
      <w:r w:rsidRPr="001C27A1">
        <w:rPr>
          <w:rFonts w:asciiTheme="minorHAnsi" w:eastAsiaTheme="minorHAnsi" w:hAnsiTheme="minorHAnsi"/>
          <w:b/>
          <w:color w:val="auto"/>
          <w:sz w:val="20"/>
          <w:szCs w:val="20"/>
          <w:lang w:val="sr-Cyrl-RS" w:eastAsia="en-US"/>
        </w:rPr>
        <w:t xml:space="preserve"> po finansijskim posrednicima u periodu 2020. - 2023. godina</w:t>
      </w:r>
    </w:p>
    <w:p w:rsidR="005934B2" w:rsidRPr="001C27A1" w:rsidRDefault="005934B2" w:rsidP="00A401F8">
      <w:pPr>
        <w:rPr>
          <w:rFonts w:asciiTheme="minorHAnsi" w:eastAsiaTheme="minorHAnsi" w:hAnsiTheme="minorHAnsi"/>
          <w:b/>
          <w:color w:val="auto"/>
          <w:sz w:val="20"/>
          <w:szCs w:val="20"/>
          <w:lang w:val="sr-Cyrl-RS" w:eastAsia="en-US"/>
        </w:rPr>
      </w:pP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r>
      <w:r w:rsidRPr="001C27A1">
        <w:rPr>
          <w:rFonts w:asciiTheme="minorHAnsi" w:eastAsiaTheme="minorHAnsi" w:hAnsiTheme="minorHAnsi"/>
          <w:color w:val="auto"/>
          <w:sz w:val="20"/>
          <w:szCs w:val="20"/>
          <w:lang w:val="sr-Cyrl-RS" w:eastAsia="en-US"/>
        </w:rPr>
        <w:tab/>
        <w:t xml:space="preserve">                </w:t>
      </w:r>
      <w:r>
        <w:rPr>
          <w:rFonts w:asciiTheme="minorHAnsi" w:eastAsiaTheme="minorHAnsi" w:hAnsiTheme="minorHAnsi"/>
          <w:b/>
          <w:color w:val="auto"/>
          <w:sz w:val="20"/>
          <w:szCs w:val="20"/>
          <w:lang w:val="sr-Cyrl-RS" w:eastAsia="en-US"/>
        </w:rPr>
        <w:t>Tabela 14</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1039"/>
        <w:gridCol w:w="1551"/>
        <w:gridCol w:w="1560"/>
        <w:gridCol w:w="1275"/>
      </w:tblGrid>
      <w:tr w:rsidR="005934B2" w:rsidRPr="001C27A1" w:rsidTr="000366C5">
        <w:trPr>
          <w:trHeight w:val="644"/>
        </w:trPr>
        <w:tc>
          <w:tcPr>
            <w:tcW w:w="3364" w:type="dxa"/>
            <w:shd w:val="clear" w:color="auto" w:fill="8DB3E2" w:themeFill="text2" w:themeFillTint="66"/>
            <w:noWrap/>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lang w:val="sr-Cyrl-BA"/>
              </w:rPr>
              <w:t>Finansijski posrednik</w:t>
            </w:r>
          </w:p>
        </w:tc>
        <w:tc>
          <w:tcPr>
            <w:tcW w:w="1039" w:type="dxa"/>
            <w:shd w:val="clear" w:color="auto" w:fill="8DB3E2" w:themeFill="text2" w:themeFillTint="66"/>
            <w:vAlign w:val="center"/>
          </w:tcPr>
          <w:p w:rsidR="005934B2" w:rsidRPr="002B5C72" w:rsidRDefault="005934B2" w:rsidP="000366C5">
            <w:pPr>
              <w:jc w:val="center"/>
              <w:rPr>
                <w:rFonts w:asciiTheme="minorHAnsi" w:hAnsiTheme="minorHAnsi"/>
                <w:b/>
                <w:bCs/>
                <w:sz w:val="18"/>
                <w:szCs w:val="18"/>
                <w:lang w:val="sr-Cyrl-RS"/>
              </w:rPr>
            </w:pPr>
            <w:r w:rsidRPr="002B5C72">
              <w:rPr>
                <w:rFonts w:asciiTheme="minorHAnsi" w:hAnsiTheme="minorHAnsi"/>
                <w:b/>
                <w:bCs/>
                <w:sz w:val="18"/>
                <w:szCs w:val="18"/>
                <w:lang w:val="sr-Cyrl-RS"/>
              </w:rPr>
              <w:t>Broj garancija</w:t>
            </w:r>
          </w:p>
        </w:tc>
        <w:tc>
          <w:tcPr>
            <w:tcW w:w="1551" w:type="dxa"/>
            <w:shd w:val="clear" w:color="auto" w:fill="8DB3E2" w:themeFill="text2" w:themeFillTint="66"/>
            <w:noWrap/>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Iznos kredita</w:t>
            </w:r>
          </w:p>
        </w:tc>
        <w:tc>
          <w:tcPr>
            <w:tcW w:w="1560" w:type="dxa"/>
            <w:shd w:val="clear" w:color="auto" w:fill="8DB3E2" w:themeFill="text2" w:themeFillTint="66"/>
            <w:noWrap/>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Iznos garancije</w:t>
            </w:r>
          </w:p>
        </w:tc>
        <w:tc>
          <w:tcPr>
            <w:tcW w:w="1275" w:type="dxa"/>
            <w:shd w:val="clear" w:color="auto" w:fill="8DB3E2" w:themeFill="text2" w:themeFillTint="66"/>
            <w:vAlign w:val="center"/>
            <w:hideMark/>
          </w:tcPr>
          <w:p w:rsidR="005934B2" w:rsidRPr="002B5C72" w:rsidRDefault="005934B2" w:rsidP="000366C5">
            <w:pPr>
              <w:jc w:val="center"/>
              <w:rPr>
                <w:rFonts w:asciiTheme="minorHAnsi" w:hAnsiTheme="minorHAnsi"/>
                <w:b/>
                <w:bCs/>
                <w:sz w:val="18"/>
                <w:szCs w:val="18"/>
              </w:rPr>
            </w:pPr>
            <w:r w:rsidRPr="002B5C72">
              <w:rPr>
                <w:rFonts w:asciiTheme="minorHAnsi" w:hAnsiTheme="minorHAnsi"/>
                <w:b/>
                <w:bCs/>
                <w:sz w:val="18"/>
                <w:szCs w:val="18"/>
              </w:rPr>
              <w:t>Učešće u ukupn</w:t>
            </w:r>
            <w:r w:rsidRPr="002B5C72">
              <w:rPr>
                <w:rFonts w:asciiTheme="minorHAnsi" w:hAnsiTheme="minorHAnsi"/>
                <w:b/>
                <w:bCs/>
                <w:sz w:val="18"/>
                <w:szCs w:val="18"/>
                <w:lang w:val="sr-Cyrl-BA"/>
              </w:rPr>
              <w:t>im</w:t>
            </w:r>
            <w:r w:rsidRPr="002B5C72">
              <w:rPr>
                <w:rFonts w:asciiTheme="minorHAnsi" w:hAnsiTheme="minorHAnsi"/>
                <w:b/>
                <w:bCs/>
                <w:sz w:val="18"/>
                <w:szCs w:val="18"/>
              </w:rPr>
              <w:t xml:space="preserve"> </w:t>
            </w:r>
            <w:r w:rsidRPr="002B5C72">
              <w:rPr>
                <w:rFonts w:asciiTheme="minorHAnsi" w:hAnsiTheme="minorHAnsi"/>
                <w:b/>
                <w:bCs/>
                <w:sz w:val="18"/>
                <w:szCs w:val="18"/>
                <w:lang w:val="sr-Cyrl-BA"/>
              </w:rPr>
              <w:t>kreditima</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sidRPr="002B5C72">
              <w:rPr>
                <w:rFonts w:asciiTheme="minorHAnsi" w:hAnsiTheme="minorHAnsi"/>
                <w:sz w:val="18"/>
                <w:szCs w:val="18"/>
              </w:rPr>
              <w:t>Procredit bank d.d. Sarajevo</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188</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34.171.000,00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23.919.700,00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56,10%</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sidRPr="002B5C72">
              <w:rPr>
                <w:rFonts w:asciiTheme="minorHAnsi" w:hAnsiTheme="minorHAnsi"/>
                <w:sz w:val="18"/>
                <w:szCs w:val="18"/>
              </w:rPr>
              <w:t xml:space="preserve">Mf banka a.d. Banja </w:t>
            </w:r>
            <w:r w:rsidRPr="002B5C72">
              <w:rPr>
                <w:rFonts w:asciiTheme="minorHAnsi" w:hAnsiTheme="minorHAnsi"/>
                <w:sz w:val="18"/>
                <w:szCs w:val="18"/>
                <w:lang w:val="sr-Cyrl-RS"/>
              </w:rPr>
              <w:t>L</w:t>
            </w:r>
            <w:r w:rsidRPr="002B5C72">
              <w:rPr>
                <w:rFonts w:asciiTheme="minorHAnsi" w:hAnsiTheme="minorHAnsi"/>
                <w:sz w:val="18"/>
                <w:szCs w:val="18"/>
              </w:rPr>
              <w:t>uka</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85</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12.632.700,00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8.842.890,00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20,74%</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sidRPr="002B5C72">
              <w:rPr>
                <w:rFonts w:asciiTheme="minorHAnsi" w:hAnsiTheme="minorHAnsi"/>
                <w:sz w:val="18"/>
                <w:szCs w:val="18"/>
              </w:rPr>
              <w:t xml:space="preserve">Unicredit bank a.d. Banja </w:t>
            </w:r>
            <w:r w:rsidRPr="002B5C72">
              <w:rPr>
                <w:rFonts w:asciiTheme="minorHAnsi" w:hAnsiTheme="minorHAnsi"/>
                <w:sz w:val="18"/>
                <w:szCs w:val="18"/>
                <w:lang w:val="sr-Cyrl-RS"/>
              </w:rPr>
              <w:t>L</w:t>
            </w:r>
            <w:r w:rsidRPr="002B5C72">
              <w:rPr>
                <w:rFonts w:asciiTheme="minorHAnsi" w:hAnsiTheme="minorHAnsi"/>
                <w:sz w:val="18"/>
                <w:szCs w:val="18"/>
              </w:rPr>
              <w:t>uka</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52</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6.145.300,00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4.301.710,00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10,09%</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sidRPr="002B5C72">
              <w:rPr>
                <w:rFonts w:asciiTheme="minorHAnsi" w:hAnsiTheme="minorHAnsi"/>
                <w:sz w:val="18"/>
                <w:szCs w:val="18"/>
              </w:rPr>
              <w:t xml:space="preserve">Nova banka a.d. Banja </w:t>
            </w:r>
            <w:r w:rsidRPr="002B5C72">
              <w:rPr>
                <w:rFonts w:asciiTheme="minorHAnsi" w:hAnsiTheme="minorHAnsi"/>
                <w:sz w:val="18"/>
                <w:szCs w:val="18"/>
                <w:lang w:val="sr-Cyrl-RS"/>
              </w:rPr>
              <w:t>L</w:t>
            </w:r>
            <w:r w:rsidRPr="002B5C72">
              <w:rPr>
                <w:rFonts w:asciiTheme="minorHAnsi" w:hAnsiTheme="minorHAnsi"/>
                <w:sz w:val="18"/>
                <w:szCs w:val="18"/>
              </w:rPr>
              <w:t>uka</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38</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4.398.000,00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3.078.600,00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7,22%</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sidRPr="002B5C72">
              <w:rPr>
                <w:rFonts w:asciiTheme="minorHAnsi" w:hAnsiTheme="minorHAnsi"/>
                <w:sz w:val="18"/>
                <w:szCs w:val="18"/>
              </w:rPr>
              <w:t xml:space="preserve">Raiffeisen bank d.d. </w:t>
            </w:r>
            <w:r w:rsidRPr="002B5C72">
              <w:rPr>
                <w:rFonts w:asciiTheme="minorHAnsi" w:hAnsiTheme="minorHAnsi"/>
                <w:sz w:val="18"/>
                <w:szCs w:val="18"/>
                <w:lang w:val="sr-Cyrl-BA"/>
              </w:rPr>
              <w:t>Sarajevo</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11</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1.560.000,00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1.092.000,00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2,56%</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sidRPr="002B5C72">
              <w:rPr>
                <w:rFonts w:asciiTheme="minorHAnsi" w:hAnsiTheme="minorHAnsi"/>
                <w:sz w:val="18"/>
                <w:szCs w:val="18"/>
              </w:rPr>
              <w:t xml:space="preserve">Atos bank a.d. Banja </w:t>
            </w:r>
            <w:r w:rsidRPr="002B5C72">
              <w:rPr>
                <w:rFonts w:asciiTheme="minorHAnsi" w:hAnsiTheme="minorHAnsi"/>
                <w:sz w:val="18"/>
                <w:szCs w:val="18"/>
                <w:lang w:val="sr-Cyrl-RS"/>
              </w:rPr>
              <w:t>L</w:t>
            </w:r>
            <w:r w:rsidRPr="002B5C72">
              <w:rPr>
                <w:rFonts w:asciiTheme="minorHAnsi" w:hAnsiTheme="minorHAnsi"/>
                <w:sz w:val="18"/>
                <w:szCs w:val="18"/>
              </w:rPr>
              <w:t>uka</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24</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1.060.628,00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742.439,60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1,74%</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sidRPr="002B5C72">
              <w:rPr>
                <w:rFonts w:asciiTheme="minorHAnsi" w:hAnsiTheme="minorHAnsi"/>
                <w:sz w:val="18"/>
                <w:szCs w:val="18"/>
              </w:rPr>
              <w:t xml:space="preserve">Banka poštanska štedionica a.d. Banja </w:t>
            </w:r>
            <w:r w:rsidRPr="002B5C72">
              <w:rPr>
                <w:rFonts w:asciiTheme="minorHAnsi" w:hAnsiTheme="minorHAnsi"/>
                <w:sz w:val="18"/>
                <w:szCs w:val="18"/>
                <w:lang w:val="sr-Cyrl-RS"/>
              </w:rPr>
              <w:t>L</w:t>
            </w:r>
            <w:r w:rsidRPr="002B5C72">
              <w:rPr>
                <w:rFonts w:asciiTheme="minorHAnsi" w:hAnsiTheme="minorHAnsi"/>
                <w:sz w:val="18"/>
                <w:szCs w:val="18"/>
              </w:rPr>
              <w:t>uka</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11</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588.000,00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411.600,00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0,97%</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Pr>
                <w:rFonts w:asciiTheme="minorHAnsi" w:hAnsiTheme="minorHAnsi"/>
                <w:sz w:val="18"/>
                <w:szCs w:val="18"/>
              </w:rPr>
              <w:t>N</w:t>
            </w:r>
            <w:r>
              <w:rPr>
                <w:rFonts w:asciiTheme="minorHAnsi" w:hAnsiTheme="minorHAnsi"/>
                <w:sz w:val="18"/>
                <w:szCs w:val="18"/>
                <w:lang w:val="sr-Cyrl-RS"/>
              </w:rPr>
              <w:t>LB</w:t>
            </w:r>
            <w:r w:rsidRPr="002B5C72">
              <w:rPr>
                <w:rFonts w:asciiTheme="minorHAnsi" w:hAnsiTheme="minorHAnsi"/>
                <w:sz w:val="18"/>
                <w:szCs w:val="18"/>
              </w:rPr>
              <w:t xml:space="preserve"> banka a.d. Banja </w:t>
            </w:r>
            <w:r w:rsidRPr="002B5C72">
              <w:rPr>
                <w:rFonts w:asciiTheme="minorHAnsi" w:hAnsiTheme="minorHAnsi"/>
                <w:sz w:val="18"/>
                <w:szCs w:val="18"/>
                <w:lang w:val="sr-Cyrl-RS"/>
              </w:rPr>
              <w:t>L</w:t>
            </w:r>
            <w:r w:rsidRPr="002B5C72">
              <w:rPr>
                <w:rFonts w:asciiTheme="minorHAnsi" w:hAnsiTheme="minorHAnsi"/>
                <w:sz w:val="18"/>
                <w:szCs w:val="18"/>
              </w:rPr>
              <w:t>uka</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5</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340.000,00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238.000,00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0,56%</w:t>
            </w:r>
          </w:p>
        </w:tc>
      </w:tr>
      <w:tr w:rsidR="005934B2" w:rsidRPr="001C27A1" w:rsidTr="000366C5">
        <w:trPr>
          <w:trHeight w:val="315"/>
        </w:trPr>
        <w:tc>
          <w:tcPr>
            <w:tcW w:w="3364" w:type="dxa"/>
            <w:shd w:val="clear" w:color="auto" w:fill="auto"/>
            <w:noWrap/>
            <w:vAlign w:val="center"/>
            <w:hideMark/>
          </w:tcPr>
          <w:p w:rsidR="005934B2" w:rsidRPr="002B5C72" w:rsidRDefault="005934B2" w:rsidP="000366C5">
            <w:pPr>
              <w:jc w:val="left"/>
              <w:rPr>
                <w:rFonts w:asciiTheme="minorHAnsi" w:hAnsiTheme="minorHAnsi"/>
                <w:caps/>
                <w:sz w:val="18"/>
                <w:szCs w:val="18"/>
              </w:rPr>
            </w:pPr>
            <w:r>
              <w:rPr>
                <w:rFonts w:asciiTheme="minorHAnsi" w:hAnsiTheme="minorHAnsi"/>
                <w:sz w:val="18"/>
                <w:szCs w:val="18"/>
              </w:rPr>
              <w:t>M</w:t>
            </w:r>
            <w:r>
              <w:rPr>
                <w:rFonts w:asciiTheme="minorHAnsi" w:hAnsiTheme="minorHAnsi"/>
                <w:sz w:val="18"/>
                <w:szCs w:val="18"/>
                <w:lang w:val="sr-Cyrl-RS"/>
              </w:rPr>
              <w:t>KD</w:t>
            </w:r>
            <w:r w:rsidRPr="002B5C72">
              <w:rPr>
                <w:rFonts w:asciiTheme="minorHAnsi" w:hAnsiTheme="minorHAnsi"/>
                <w:sz w:val="18"/>
                <w:szCs w:val="18"/>
              </w:rPr>
              <w:t xml:space="preserve"> </w:t>
            </w:r>
            <w:r>
              <w:rPr>
                <w:rFonts w:asciiTheme="minorHAnsi" w:hAnsiTheme="minorHAnsi"/>
                <w:sz w:val="18"/>
                <w:szCs w:val="18"/>
                <w:lang w:val="sr-Cyrl-RS"/>
              </w:rPr>
              <w:t>M</w:t>
            </w:r>
            <w:r w:rsidRPr="002B5C72">
              <w:rPr>
                <w:rFonts w:asciiTheme="minorHAnsi" w:hAnsiTheme="minorHAnsi"/>
                <w:sz w:val="18"/>
                <w:szCs w:val="18"/>
              </w:rPr>
              <w:t xml:space="preserve">ikrofin d.o.o. Banja </w:t>
            </w:r>
            <w:r w:rsidRPr="002B5C72">
              <w:rPr>
                <w:rFonts w:asciiTheme="minorHAnsi" w:hAnsiTheme="minorHAnsi"/>
                <w:sz w:val="18"/>
                <w:szCs w:val="18"/>
                <w:lang w:val="sr-Cyrl-RS"/>
              </w:rPr>
              <w:t>L</w:t>
            </w:r>
            <w:r w:rsidRPr="002B5C72">
              <w:rPr>
                <w:rFonts w:asciiTheme="minorHAnsi" w:hAnsiTheme="minorHAnsi"/>
                <w:sz w:val="18"/>
                <w:szCs w:val="18"/>
              </w:rPr>
              <w:t>uka</w:t>
            </w:r>
          </w:p>
        </w:tc>
        <w:tc>
          <w:tcPr>
            <w:tcW w:w="1039" w:type="dxa"/>
            <w:vAlign w:val="center"/>
          </w:tcPr>
          <w:p w:rsidR="005934B2" w:rsidRPr="002B5C72" w:rsidRDefault="005934B2" w:rsidP="000366C5">
            <w:pPr>
              <w:jc w:val="center"/>
              <w:rPr>
                <w:rFonts w:asciiTheme="minorHAnsi" w:hAnsiTheme="minorHAnsi"/>
                <w:sz w:val="18"/>
                <w:szCs w:val="18"/>
                <w:lang w:val="sr-Cyrl-RS"/>
              </w:rPr>
            </w:pPr>
            <w:r w:rsidRPr="002B5C72">
              <w:rPr>
                <w:rFonts w:asciiTheme="minorHAnsi" w:hAnsiTheme="minorHAnsi"/>
                <w:sz w:val="18"/>
                <w:szCs w:val="18"/>
                <w:lang w:val="sr-Cyrl-RS"/>
              </w:rPr>
              <w:t>2</w:t>
            </w:r>
          </w:p>
        </w:tc>
        <w:tc>
          <w:tcPr>
            <w:tcW w:w="1551"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15.001,00</w:t>
            </w:r>
          </w:p>
        </w:tc>
        <w:tc>
          <w:tcPr>
            <w:tcW w:w="1560"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10.500,70</w:t>
            </w:r>
          </w:p>
        </w:tc>
        <w:tc>
          <w:tcPr>
            <w:tcW w:w="1275" w:type="dxa"/>
            <w:shd w:val="clear" w:color="auto" w:fill="auto"/>
            <w:noWrap/>
            <w:vAlign w:val="center"/>
            <w:hideMark/>
          </w:tcPr>
          <w:p w:rsidR="005934B2" w:rsidRPr="002B5C72" w:rsidRDefault="005934B2" w:rsidP="000366C5">
            <w:pPr>
              <w:jc w:val="right"/>
              <w:rPr>
                <w:rFonts w:asciiTheme="minorHAnsi" w:hAnsiTheme="minorHAnsi"/>
                <w:sz w:val="18"/>
                <w:szCs w:val="18"/>
              </w:rPr>
            </w:pPr>
            <w:r w:rsidRPr="002B5C72">
              <w:rPr>
                <w:rFonts w:asciiTheme="minorHAnsi" w:hAnsiTheme="minorHAnsi"/>
                <w:sz w:val="18"/>
                <w:szCs w:val="18"/>
              </w:rPr>
              <w:t>0,02%</w:t>
            </w:r>
          </w:p>
        </w:tc>
      </w:tr>
      <w:tr w:rsidR="005934B2" w:rsidRPr="001C27A1" w:rsidTr="000366C5">
        <w:trPr>
          <w:trHeight w:val="315"/>
        </w:trPr>
        <w:tc>
          <w:tcPr>
            <w:tcW w:w="3364" w:type="dxa"/>
            <w:shd w:val="clear" w:color="auto" w:fill="8DB3E2" w:themeFill="text2" w:themeFillTint="66"/>
            <w:noWrap/>
            <w:vAlign w:val="center"/>
            <w:hideMark/>
          </w:tcPr>
          <w:p w:rsidR="005934B2" w:rsidRPr="002B5C72" w:rsidRDefault="005934B2" w:rsidP="000366C5">
            <w:pPr>
              <w:jc w:val="left"/>
              <w:rPr>
                <w:rFonts w:asciiTheme="minorHAnsi" w:hAnsiTheme="minorHAnsi"/>
                <w:b/>
                <w:bCs/>
                <w:sz w:val="18"/>
                <w:szCs w:val="18"/>
              </w:rPr>
            </w:pPr>
            <w:r>
              <w:rPr>
                <w:rFonts w:asciiTheme="minorHAnsi" w:hAnsiTheme="minorHAnsi"/>
                <w:b/>
                <w:bCs/>
                <w:sz w:val="18"/>
                <w:szCs w:val="18"/>
                <w:lang w:val="sr-Cyrl-BA"/>
              </w:rPr>
              <w:t>UKUPNO</w:t>
            </w:r>
          </w:p>
        </w:tc>
        <w:tc>
          <w:tcPr>
            <w:tcW w:w="1039" w:type="dxa"/>
            <w:shd w:val="clear" w:color="auto" w:fill="8DB3E2" w:themeFill="text2" w:themeFillTint="66"/>
            <w:vAlign w:val="center"/>
          </w:tcPr>
          <w:p w:rsidR="005934B2" w:rsidRPr="002B5C72" w:rsidRDefault="005934B2" w:rsidP="000366C5">
            <w:pPr>
              <w:jc w:val="center"/>
              <w:rPr>
                <w:rFonts w:asciiTheme="minorHAnsi" w:hAnsiTheme="minorHAnsi"/>
                <w:b/>
                <w:bCs/>
                <w:sz w:val="18"/>
                <w:szCs w:val="18"/>
                <w:lang w:val="sr-Cyrl-RS"/>
              </w:rPr>
            </w:pPr>
            <w:r w:rsidRPr="002B5C72">
              <w:rPr>
                <w:rFonts w:asciiTheme="minorHAnsi" w:hAnsiTheme="minorHAnsi"/>
                <w:b/>
                <w:bCs/>
                <w:sz w:val="18"/>
                <w:szCs w:val="18"/>
                <w:lang w:val="sr-Cyrl-RS"/>
              </w:rPr>
              <w:t>416</w:t>
            </w:r>
          </w:p>
        </w:tc>
        <w:tc>
          <w:tcPr>
            <w:tcW w:w="1551" w:type="dxa"/>
            <w:shd w:val="clear" w:color="auto" w:fill="8DB3E2" w:themeFill="text2" w:themeFillTint="66"/>
            <w:noWrap/>
            <w:vAlign w:val="center"/>
            <w:hideMark/>
          </w:tcPr>
          <w:p w:rsidR="005934B2" w:rsidRPr="002B5C72" w:rsidRDefault="005934B2" w:rsidP="000366C5">
            <w:pPr>
              <w:jc w:val="right"/>
              <w:rPr>
                <w:rFonts w:asciiTheme="minorHAnsi" w:hAnsiTheme="minorHAnsi"/>
                <w:b/>
                <w:bCs/>
                <w:sz w:val="18"/>
                <w:szCs w:val="18"/>
              </w:rPr>
            </w:pPr>
            <w:r w:rsidRPr="002B5C72">
              <w:rPr>
                <w:rFonts w:asciiTheme="minorHAnsi" w:hAnsiTheme="minorHAnsi"/>
                <w:b/>
                <w:bCs/>
                <w:sz w:val="18"/>
                <w:szCs w:val="18"/>
              </w:rPr>
              <w:t>60.910.629,00</w:t>
            </w:r>
          </w:p>
        </w:tc>
        <w:tc>
          <w:tcPr>
            <w:tcW w:w="1560" w:type="dxa"/>
            <w:shd w:val="clear" w:color="auto" w:fill="8DB3E2" w:themeFill="text2" w:themeFillTint="66"/>
            <w:noWrap/>
            <w:vAlign w:val="center"/>
            <w:hideMark/>
          </w:tcPr>
          <w:p w:rsidR="005934B2" w:rsidRPr="002B5C72" w:rsidRDefault="005934B2" w:rsidP="000366C5">
            <w:pPr>
              <w:jc w:val="right"/>
              <w:rPr>
                <w:rFonts w:asciiTheme="minorHAnsi" w:hAnsiTheme="minorHAnsi"/>
                <w:b/>
                <w:bCs/>
                <w:sz w:val="18"/>
                <w:szCs w:val="18"/>
              </w:rPr>
            </w:pPr>
            <w:r w:rsidRPr="002B5C72">
              <w:rPr>
                <w:rFonts w:asciiTheme="minorHAnsi" w:hAnsiTheme="minorHAnsi"/>
                <w:b/>
                <w:bCs/>
                <w:sz w:val="18"/>
                <w:szCs w:val="18"/>
              </w:rPr>
              <w:t>42.637.440,30</w:t>
            </w:r>
          </w:p>
        </w:tc>
        <w:tc>
          <w:tcPr>
            <w:tcW w:w="1275" w:type="dxa"/>
            <w:shd w:val="clear" w:color="auto" w:fill="8DB3E2" w:themeFill="text2" w:themeFillTint="66"/>
            <w:noWrap/>
            <w:vAlign w:val="center"/>
            <w:hideMark/>
          </w:tcPr>
          <w:p w:rsidR="005934B2" w:rsidRPr="002B5C72" w:rsidRDefault="005934B2" w:rsidP="000366C5">
            <w:pPr>
              <w:jc w:val="right"/>
              <w:rPr>
                <w:rFonts w:asciiTheme="minorHAnsi" w:hAnsiTheme="minorHAnsi"/>
                <w:b/>
                <w:bCs/>
                <w:sz w:val="18"/>
                <w:szCs w:val="18"/>
              </w:rPr>
            </w:pPr>
            <w:r w:rsidRPr="002B5C72">
              <w:rPr>
                <w:rFonts w:asciiTheme="minorHAnsi" w:hAnsiTheme="minorHAnsi"/>
                <w:b/>
                <w:bCs/>
                <w:sz w:val="18"/>
                <w:szCs w:val="18"/>
              </w:rPr>
              <w:t>100,00%</w:t>
            </w:r>
          </w:p>
        </w:tc>
      </w:tr>
    </w:tbl>
    <w:p w:rsidR="005934B2" w:rsidRPr="001C27A1" w:rsidRDefault="005934B2" w:rsidP="00A401F8">
      <w:pPr>
        <w:rPr>
          <w:rFonts w:asciiTheme="minorHAnsi" w:eastAsiaTheme="minorHAnsi" w:hAnsiTheme="minorHAnsi"/>
          <w:color w:val="auto"/>
          <w:sz w:val="20"/>
          <w:szCs w:val="20"/>
          <w:lang w:eastAsia="en-US"/>
        </w:rPr>
      </w:pPr>
    </w:p>
    <w:p w:rsidR="005934B2" w:rsidRDefault="005934B2" w:rsidP="00A401F8">
      <w:pPr>
        <w:rPr>
          <w:rFonts w:asciiTheme="minorHAnsi" w:hAnsiTheme="minorHAnsi"/>
          <w:noProof/>
          <w:sz w:val="20"/>
          <w:szCs w:val="20"/>
          <w:lang w:val="sr-Cyrl-RS"/>
        </w:rPr>
      </w:pPr>
      <w:r w:rsidRPr="001C27A1">
        <w:rPr>
          <w:rFonts w:asciiTheme="minorHAnsi" w:hAnsiTheme="minorHAnsi"/>
          <w:noProof/>
          <w:sz w:val="20"/>
          <w:szCs w:val="20"/>
          <w:lang w:val="sr-Cyrl-RS"/>
        </w:rPr>
        <w:t xml:space="preserve">U ukupno plasiranim kreditima dominantno učešće ima Procredit banka, koja je od početka Programa </w:t>
      </w:r>
      <w:r w:rsidRPr="001C27A1">
        <w:rPr>
          <w:rFonts w:asciiTheme="minorHAnsi" w:hAnsiTheme="minorHAnsi"/>
          <w:sz w:val="20"/>
          <w:szCs w:val="20"/>
          <w:lang w:val="sr-Cyrl-BA"/>
        </w:rPr>
        <w:t xml:space="preserve"> </w:t>
      </w:r>
      <w:r w:rsidRPr="001C27A1">
        <w:rPr>
          <w:rFonts w:asciiTheme="minorHAnsi" w:hAnsiTheme="minorHAnsi"/>
          <w:sz w:val="20"/>
          <w:szCs w:val="20"/>
          <w:lang w:val="sr-Latn-BA"/>
        </w:rPr>
        <w:t>COVID</w:t>
      </w:r>
      <w:r w:rsidRPr="001C27A1">
        <w:rPr>
          <w:rFonts w:asciiTheme="minorHAnsi" w:hAnsiTheme="minorHAnsi"/>
          <w:sz w:val="20"/>
          <w:szCs w:val="20"/>
          <w:lang w:val="sr-Cyrl-RS"/>
        </w:rPr>
        <w:t>-</w:t>
      </w:r>
      <w:r w:rsidRPr="001C27A1">
        <w:rPr>
          <w:rFonts w:asciiTheme="minorHAnsi" w:hAnsiTheme="minorHAnsi"/>
          <w:sz w:val="20"/>
          <w:szCs w:val="20"/>
          <w:lang w:val="sr-Latn-BA"/>
        </w:rPr>
        <w:t>19</w:t>
      </w:r>
      <w:r w:rsidRPr="001C27A1">
        <w:rPr>
          <w:rFonts w:asciiTheme="minorHAnsi" w:hAnsiTheme="minorHAnsi"/>
          <w:sz w:val="20"/>
          <w:szCs w:val="20"/>
        </w:rPr>
        <w:t xml:space="preserve"> </w:t>
      </w:r>
      <w:r w:rsidRPr="001C27A1">
        <w:rPr>
          <w:rFonts w:asciiTheme="minorHAnsi" w:hAnsiTheme="minorHAnsi"/>
          <w:noProof/>
          <w:sz w:val="20"/>
          <w:szCs w:val="20"/>
          <w:lang w:val="sr-Cyrl-RS"/>
        </w:rPr>
        <w:t>plasirala 1</w:t>
      </w:r>
      <w:r w:rsidRPr="001C27A1">
        <w:rPr>
          <w:rFonts w:asciiTheme="minorHAnsi" w:hAnsiTheme="minorHAnsi"/>
          <w:noProof/>
          <w:sz w:val="20"/>
          <w:szCs w:val="20"/>
          <w:lang w:val="sr-Cyrl-BA"/>
        </w:rPr>
        <w:t>88</w:t>
      </w:r>
      <w:r w:rsidRPr="001C27A1">
        <w:rPr>
          <w:rFonts w:asciiTheme="minorHAnsi" w:hAnsiTheme="minorHAnsi"/>
          <w:noProof/>
          <w:sz w:val="20"/>
          <w:szCs w:val="20"/>
          <w:lang w:val="sr-Cyrl-RS"/>
        </w:rPr>
        <w:t xml:space="preserve"> kredita u iznosu od </w:t>
      </w:r>
      <w:r w:rsidRPr="001C27A1">
        <w:rPr>
          <w:rFonts w:asciiTheme="minorHAnsi" w:hAnsiTheme="minorHAnsi"/>
          <w:noProof/>
          <w:sz w:val="20"/>
          <w:szCs w:val="20"/>
        </w:rPr>
        <w:t>3</w:t>
      </w:r>
      <w:r w:rsidRPr="001C27A1">
        <w:rPr>
          <w:rFonts w:asciiTheme="minorHAnsi" w:hAnsiTheme="minorHAnsi"/>
          <w:noProof/>
          <w:sz w:val="20"/>
          <w:szCs w:val="20"/>
          <w:lang w:val="sr-Cyrl-BA"/>
        </w:rPr>
        <w:t>4.171</w:t>
      </w:r>
      <w:r w:rsidRPr="001C27A1">
        <w:rPr>
          <w:rFonts w:asciiTheme="minorHAnsi" w:hAnsiTheme="minorHAnsi"/>
          <w:noProof/>
          <w:sz w:val="20"/>
          <w:szCs w:val="20"/>
          <w:lang w:val="sr-Cyrl-RS"/>
        </w:rPr>
        <w:t>.</w:t>
      </w:r>
      <w:r w:rsidRPr="001C27A1">
        <w:rPr>
          <w:rFonts w:asciiTheme="minorHAnsi" w:hAnsiTheme="minorHAnsi"/>
          <w:noProof/>
          <w:sz w:val="20"/>
          <w:szCs w:val="20"/>
        </w:rPr>
        <w:t>000</w:t>
      </w:r>
      <w:r w:rsidRPr="001C27A1">
        <w:rPr>
          <w:rFonts w:asciiTheme="minorHAnsi" w:hAnsiTheme="minorHAnsi"/>
          <w:noProof/>
          <w:sz w:val="20"/>
          <w:szCs w:val="20"/>
          <w:lang w:val="sr-Cyrl-RS"/>
        </w:rPr>
        <w:t>,</w:t>
      </w:r>
      <w:r w:rsidRPr="001C27A1">
        <w:rPr>
          <w:rFonts w:asciiTheme="minorHAnsi" w:hAnsiTheme="minorHAnsi"/>
          <w:noProof/>
          <w:sz w:val="20"/>
          <w:szCs w:val="20"/>
        </w:rPr>
        <w:t>00</w:t>
      </w:r>
      <w:r w:rsidRPr="001C27A1">
        <w:rPr>
          <w:rFonts w:asciiTheme="minorHAnsi" w:hAnsiTheme="minorHAnsi"/>
          <w:noProof/>
          <w:sz w:val="20"/>
          <w:szCs w:val="20"/>
          <w:lang w:val="sr-Cyrl-RS"/>
        </w:rPr>
        <w:t xml:space="preserve"> KM, što je više od </w:t>
      </w:r>
      <w:r w:rsidRPr="001C27A1">
        <w:rPr>
          <w:rFonts w:asciiTheme="minorHAnsi" w:hAnsiTheme="minorHAnsi"/>
          <w:noProof/>
          <w:sz w:val="20"/>
          <w:szCs w:val="20"/>
          <w:lang w:val="sr-Cyrl-BA"/>
        </w:rPr>
        <w:t>polovine</w:t>
      </w:r>
      <w:r w:rsidRPr="001C27A1">
        <w:rPr>
          <w:rFonts w:asciiTheme="minorHAnsi" w:hAnsiTheme="minorHAnsi"/>
          <w:noProof/>
          <w:sz w:val="20"/>
          <w:szCs w:val="20"/>
          <w:lang w:val="sr-Cyrl-RS"/>
        </w:rPr>
        <w:t xml:space="preserve"> ukupno plasiranih sredstava (5</w:t>
      </w:r>
      <w:r w:rsidRPr="001C27A1">
        <w:rPr>
          <w:rFonts w:asciiTheme="minorHAnsi" w:hAnsiTheme="minorHAnsi"/>
          <w:noProof/>
          <w:sz w:val="20"/>
          <w:szCs w:val="20"/>
          <w:lang w:val="sr-Cyrl-BA"/>
        </w:rPr>
        <w:t>6</w:t>
      </w:r>
      <w:r w:rsidRPr="001C27A1">
        <w:rPr>
          <w:rFonts w:asciiTheme="minorHAnsi" w:hAnsiTheme="minorHAnsi"/>
          <w:noProof/>
          <w:sz w:val="20"/>
          <w:szCs w:val="20"/>
          <w:lang w:val="sr-Cyrl-RS"/>
        </w:rPr>
        <w:t>,</w:t>
      </w:r>
      <w:r w:rsidRPr="001C27A1">
        <w:rPr>
          <w:rFonts w:asciiTheme="minorHAnsi" w:hAnsiTheme="minorHAnsi"/>
          <w:noProof/>
          <w:sz w:val="20"/>
          <w:szCs w:val="20"/>
          <w:lang w:val="sr-Latn-BA"/>
        </w:rPr>
        <w:t>10</w:t>
      </w:r>
      <w:r w:rsidRPr="001C27A1">
        <w:rPr>
          <w:rFonts w:asciiTheme="minorHAnsi" w:hAnsiTheme="minorHAnsi"/>
          <w:noProof/>
          <w:sz w:val="20"/>
          <w:szCs w:val="20"/>
          <w:lang w:val="sr-Cyrl-RS"/>
        </w:rPr>
        <w:t>%). MF banka je na drugom mjestu sa ukupno 8</w:t>
      </w:r>
      <w:r w:rsidRPr="001C27A1">
        <w:rPr>
          <w:rFonts w:asciiTheme="minorHAnsi" w:hAnsiTheme="minorHAnsi"/>
          <w:noProof/>
          <w:sz w:val="20"/>
          <w:szCs w:val="20"/>
          <w:lang w:val="sr-Latn-BA"/>
        </w:rPr>
        <w:t>5</w:t>
      </w:r>
      <w:r w:rsidRPr="001C27A1">
        <w:rPr>
          <w:rFonts w:asciiTheme="minorHAnsi" w:hAnsiTheme="minorHAnsi"/>
          <w:noProof/>
          <w:sz w:val="20"/>
          <w:szCs w:val="20"/>
          <w:lang w:val="sr-Cyrl-RS"/>
        </w:rPr>
        <w:t xml:space="preserve"> plasiranih kredita u iznosu od 12.</w:t>
      </w:r>
      <w:r w:rsidRPr="001C27A1">
        <w:rPr>
          <w:rFonts w:asciiTheme="minorHAnsi" w:hAnsiTheme="minorHAnsi"/>
          <w:noProof/>
          <w:sz w:val="20"/>
          <w:szCs w:val="20"/>
          <w:lang w:val="sr-Latn-BA"/>
        </w:rPr>
        <w:t>6</w:t>
      </w:r>
      <w:r w:rsidRPr="001C27A1">
        <w:rPr>
          <w:rFonts w:asciiTheme="minorHAnsi" w:hAnsiTheme="minorHAnsi"/>
          <w:noProof/>
          <w:sz w:val="20"/>
          <w:szCs w:val="20"/>
          <w:lang w:val="sr-Cyrl-RS"/>
        </w:rPr>
        <w:t>32.700,00 KM, što je 2</w:t>
      </w:r>
      <w:r w:rsidRPr="001C27A1">
        <w:rPr>
          <w:rFonts w:asciiTheme="minorHAnsi" w:hAnsiTheme="minorHAnsi"/>
          <w:noProof/>
          <w:sz w:val="20"/>
          <w:szCs w:val="20"/>
          <w:lang w:val="sr-Latn-BA"/>
        </w:rPr>
        <w:t>0</w:t>
      </w:r>
      <w:r w:rsidRPr="001C27A1">
        <w:rPr>
          <w:rFonts w:asciiTheme="minorHAnsi" w:hAnsiTheme="minorHAnsi"/>
          <w:noProof/>
          <w:sz w:val="20"/>
          <w:szCs w:val="20"/>
          <w:lang w:val="sr-Cyrl-RS"/>
        </w:rPr>
        <w:t>,</w:t>
      </w:r>
      <w:r w:rsidRPr="001C27A1">
        <w:rPr>
          <w:rFonts w:asciiTheme="minorHAnsi" w:hAnsiTheme="minorHAnsi"/>
          <w:noProof/>
          <w:sz w:val="20"/>
          <w:szCs w:val="20"/>
          <w:lang w:val="sr-Latn-BA"/>
        </w:rPr>
        <w:t>74</w:t>
      </w:r>
      <w:r w:rsidRPr="001C27A1">
        <w:rPr>
          <w:rFonts w:asciiTheme="minorHAnsi" w:hAnsiTheme="minorHAnsi"/>
          <w:noProof/>
          <w:sz w:val="20"/>
          <w:szCs w:val="20"/>
          <w:lang w:val="sr-Cyrl-RS"/>
        </w:rPr>
        <w:t>% plasiranih sredstava. Garancije koje pokrivaju plasmane Procredit banke iznose 2</w:t>
      </w:r>
      <w:r w:rsidRPr="001C27A1">
        <w:rPr>
          <w:rFonts w:asciiTheme="minorHAnsi" w:hAnsiTheme="minorHAnsi"/>
          <w:noProof/>
          <w:sz w:val="20"/>
          <w:szCs w:val="20"/>
          <w:lang w:val="sr-Cyrl-BA"/>
        </w:rPr>
        <w:t>3</w:t>
      </w:r>
      <w:r w:rsidRPr="001C27A1">
        <w:rPr>
          <w:rFonts w:asciiTheme="minorHAnsi" w:hAnsiTheme="minorHAnsi"/>
          <w:noProof/>
          <w:sz w:val="20"/>
          <w:szCs w:val="20"/>
          <w:lang w:val="sr-Cyrl-RS"/>
        </w:rPr>
        <w:t>.</w:t>
      </w:r>
      <w:r w:rsidRPr="001C27A1">
        <w:rPr>
          <w:rFonts w:asciiTheme="minorHAnsi" w:hAnsiTheme="minorHAnsi"/>
          <w:noProof/>
          <w:sz w:val="20"/>
          <w:szCs w:val="20"/>
          <w:lang w:val="sr-Cyrl-BA"/>
        </w:rPr>
        <w:t>919</w:t>
      </w:r>
      <w:r w:rsidRPr="001C27A1">
        <w:rPr>
          <w:rFonts w:asciiTheme="minorHAnsi" w:hAnsiTheme="minorHAnsi"/>
          <w:noProof/>
          <w:sz w:val="20"/>
          <w:szCs w:val="20"/>
          <w:lang w:val="sr-Cyrl-RS"/>
        </w:rPr>
        <w:t>.700,00 KM, dok su plasmani MF banke garantovani u ukupnom iznosu od 8.</w:t>
      </w:r>
      <w:r w:rsidRPr="001C27A1">
        <w:rPr>
          <w:rFonts w:asciiTheme="minorHAnsi" w:hAnsiTheme="minorHAnsi"/>
          <w:noProof/>
          <w:sz w:val="20"/>
          <w:szCs w:val="20"/>
          <w:lang w:val="sr-Latn-BA"/>
        </w:rPr>
        <w:t>842</w:t>
      </w:r>
      <w:r w:rsidRPr="001C27A1">
        <w:rPr>
          <w:rFonts w:asciiTheme="minorHAnsi" w:hAnsiTheme="minorHAnsi"/>
          <w:noProof/>
          <w:sz w:val="20"/>
          <w:szCs w:val="20"/>
          <w:lang w:val="sr-Cyrl-RS"/>
        </w:rPr>
        <w:t xml:space="preserve">.890,00 KM. </w:t>
      </w:r>
      <w:r w:rsidRPr="001C27A1">
        <w:rPr>
          <w:rFonts w:asciiTheme="minorHAnsi" w:hAnsiTheme="minorHAnsi"/>
          <w:noProof/>
          <w:sz w:val="20"/>
          <w:szCs w:val="20"/>
          <w:lang w:val="sr-Cyrl-BA"/>
        </w:rPr>
        <w:t xml:space="preserve">Dvije navedene banke su plasirale nešto više od tri četvrtine svih sredstava u okviru </w:t>
      </w:r>
      <w:r w:rsidRPr="001C27A1">
        <w:rPr>
          <w:rFonts w:asciiTheme="minorHAnsi" w:hAnsiTheme="minorHAnsi"/>
          <w:sz w:val="20"/>
          <w:szCs w:val="20"/>
          <w:lang w:val="sr-Cyrl-BA"/>
        </w:rPr>
        <w:t>Programa</w:t>
      </w:r>
      <w:r w:rsidRPr="001C27A1">
        <w:rPr>
          <w:rFonts w:asciiTheme="minorHAnsi" w:hAnsiTheme="minorHAnsi"/>
          <w:noProof/>
          <w:sz w:val="20"/>
          <w:szCs w:val="20"/>
          <w:lang w:val="sr-Cyrl-BA"/>
        </w:rPr>
        <w:t xml:space="preserve">. </w:t>
      </w:r>
      <w:r w:rsidRPr="001C27A1">
        <w:rPr>
          <w:rFonts w:asciiTheme="minorHAnsi" w:hAnsiTheme="minorHAnsi"/>
          <w:noProof/>
          <w:sz w:val="20"/>
          <w:szCs w:val="20"/>
          <w:lang w:val="sr-Cyrl-RS"/>
        </w:rPr>
        <w:t>Unicredit banka je na trećem mjestu, a plasirala je 52 kredit</w:t>
      </w:r>
      <w:r w:rsidRPr="001C27A1">
        <w:rPr>
          <w:rFonts w:asciiTheme="minorHAnsi" w:hAnsiTheme="minorHAnsi"/>
          <w:noProof/>
          <w:sz w:val="20"/>
          <w:szCs w:val="20"/>
          <w:lang w:val="sr-Latn-BA"/>
        </w:rPr>
        <w:t>a</w:t>
      </w:r>
      <w:r w:rsidRPr="001C27A1">
        <w:rPr>
          <w:rFonts w:asciiTheme="minorHAnsi" w:hAnsiTheme="minorHAnsi"/>
          <w:noProof/>
          <w:sz w:val="20"/>
          <w:szCs w:val="20"/>
          <w:lang w:val="sr-Cyrl-RS"/>
        </w:rPr>
        <w:t xml:space="preserve"> u iznosu od 6.145.300,00 KM (10,</w:t>
      </w:r>
      <w:r w:rsidRPr="001C27A1">
        <w:rPr>
          <w:rFonts w:asciiTheme="minorHAnsi" w:hAnsiTheme="minorHAnsi"/>
          <w:noProof/>
          <w:sz w:val="20"/>
          <w:szCs w:val="20"/>
          <w:lang w:val="sr-Latn-BA"/>
        </w:rPr>
        <w:t>0</w:t>
      </w:r>
      <w:r w:rsidRPr="001C27A1">
        <w:rPr>
          <w:rFonts w:asciiTheme="minorHAnsi" w:hAnsiTheme="minorHAnsi"/>
          <w:noProof/>
          <w:sz w:val="20"/>
          <w:szCs w:val="20"/>
          <w:lang w:val="sr-Cyrl-BA"/>
        </w:rPr>
        <w:t>9</w:t>
      </w:r>
      <w:r>
        <w:rPr>
          <w:rFonts w:asciiTheme="minorHAnsi" w:hAnsiTheme="minorHAnsi"/>
          <w:noProof/>
          <w:sz w:val="20"/>
          <w:szCs w:val="20"/>
          <w:lang w:val="sr-Cyrl-RS"/>
        </w:rPr>
        <w:t>% učešća).</w:t>
      </w:r>
    </w:p>
    <w:p w:rsidR="005934B2" w:rsidRPr="00185E75" w:rsidRDefault="005934B2" w:rsidP="00A401F8">
      <w:pPr>
        <w:rPr>
          <w:rFonts w:asciiTheme="minorHAnsi" w:hAnsiTheme="minorHAnsi"/>
          <w:noProof/>
          <w:sz w:val="20"/>
          <w:szCs w:val="20"/>
          <w:lang w:val="sr-Cyrl-RS"/>
        </w:rPr>
      </w:pPr>
    </w:p>
    <w:p w:rsidR="005934B2" w:rsidRPr="001C27A1" w:rsidRDefault="005934B2" w:rsidP="00A401F8">
      <w:pPr>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Pregled garancija</w:t>
      </w:r>
      <w:r w:rsidRPr="001C27A1">
        <w:rPr>
          <w:rFonts w:asciiTheme="minorHAnsi" w:eastAsiaTheme="minorHAnsi" w:hAnsiTheme="minorHAnsi"/>
          <w:b/>
          <w:color w:val="auto"/>
          <w:sz w:val="20"/>
          <w:szCs w:val="20"/>
          <w:lang w:val="sr-Cyrl-BA" w:eastAsia="en-US"/>
        </w:rPr>
        <w:t xml:space="preserve"> Garantnog programa </w:t>
      </w:r>
      <w:r w:rsidRPr="001C27A1">
        <w:rPr>
          <w:rFonts w:asciiTheme="minorHAnsi" w:eastAsiaTheme="minorHAnsi" w:hAnsiTheme="minorHAnsi"/>
          <w:b/>
          <w:color w:val="auto"/>
          <w:sz w:val="20"/>
          <w:szCs w:val="20"/>
          <w:lang w:val="sr-Latn-BA" w:eastAsia="en-US"/>
        </w:rPr>
        <w:t xml:space="preserve"> COVID</w:t>
      </w:r>
      <w:r w:rsidRPr="001C27A1">
        <w:rPr>
          <w:rFonts w:asciiTheme="minorHAnsi" w:eastAsiaTheme="minorHAnsi" w:hAnsiTheme="minorHAnsi"/>
          <w:b/>
          <w:color w:val="auto"/>
          <w:sz w:val="20"/>
          <w:szCs w:val="20"/>
          <w:lang w:val="sr-Cyrl-RS" w:eastAsia="en-US"/>
        </w:rPr>
        <w:t>-</w:t>
      </w:r>
      <w:r w:rsidRPr="001C27A1">
        <w:rPr>
          <w:rFonts w:asciiTheme="minorHAnsi" w:eastAsiaTheme="minorHAnsi" w:hAnsiTheme="minorHAnsi"/>
          <w:b/>
          <w:color w:val="auto"/>
          <w:sz w:val="20"/>
          <w:szCs w:val="20"/>
          <w:lang w:val="sr-Latn-BA" w:eastAsia="en-US"/>
        </w:rPr>
        <w:t>19</w:t>
      </w:r>
      <w:r w:rsidRPr="001C27A1">
        <w:rPr>
          <w:rFonts w:asciiTheme="minorHAnsi" w:eastAsiaTheme="minorHAnsi" w:hAnsiTheme="minorHAnsi"/>
          <w:b/>
          <w:color w:val="auto"/>
          <w:sz w:val="20"/>
          <w:szCs w:val="20"/>
          <w:lang w:val="sr-Cyrl-RS" w:eastAsia="en-US"/>
        </w:rPr>
        <w:t xml:space="preserve"> po statusu na dan </w:t>
      </w:r>
      <w:r w:rsidRPr="001C27A1">
        <w:rPr>
          <w:rFonts w:asciiTheme="minorHAnsi" w:eastAsiaTheme="minorHAnsi" w:hAnsiTheme="minorHAnsi"/>
          <w:b/>
          <w:color w:val="auto"/>
          <w:sz w:val="20"/>
          <w:szCs w:val="20"/>
          <w:lang w:eastAsia="en-US"/>
        </w:rPr>
        <w:t>31.12.202</w:t>
      </w:r>
      <w:r>
        <w:rPr>
          <w:rFonts w:asciiTheme="minorHAnsi" w:eastAsiaTheme="minorHAnsi" w:hAnsiTheme="minorHAnsi"/>
          <w:b/>
          <w:color w:val="auto"/>
          <w:sz w:val="20"/>
          <w:szCs w:val="20"/>
          <w:lang w:val="sr-Cyrl-RS" w:eastAsia="en-US"/>
        </w:rPr>
        <w:t>4</w:t>
      </w:r>
      <w:r w:rsidRPr="001C27A1">
        <w:rPr>
          <w:rFonts w:asciiTheme="minorHAnsi" w:eastAsiaTheme="minorHAnsi" w:hAnsiTheme="minorHAnsi"/>
          <w:b/>
          <w:color w:val="auto"/>
          <w:sz w:val="20"/>
          <w:szCs w:val="20"/>
          <w:lang w:eastAsia="en-US"/>
        </w:rPr>
        <w:t>.</w:t>
      </w:r>
      <w:r w:rsidRPr="001C27A1">
        <w:rPr>
          <w:rFonts w:asciiTheme="minorHAnsi" w:eastAsiaTheme="minorHAnsi" w:hAnsiTheme="minorHAnsi"/>
          <w:b/>
          <w:color w:val="auto"/>
          <w:sz w:val="20"/>
          <w:szCs w:val="20"/>
          <w:lang w:val="sr-Cyrl-RS" w:eastAsia="en-US"/>
        </w:rPr>
        <w:t xml:space="preserve"> godine</w:t>
      </w:r>
    </w:p>
    <w:p w:rsidR="005934B2" w:rsidRPr="001C27A1" w:rsidRDefault="005934B2" w:rsidP="00A401F8">
      <w:pPr>
        <w:jc w:val="center"/>
        <w:rPr>
          <w:rFonts w:asciiTheme="minorHAnsi" w:eastAsiaTheme="minorHAnsi" w:hAnsiTheme="minorHAnsi"/>
          <w:color w:val="auto"/>
          <w:sz w:val="20"/>
          <w:szCs w:val="20"/>
          <w:lang w:val="sr-Cyrl-RS" w:eastAsia="en-US"/>
        </w:rPr>
      </w:pPr>
    </w:p>
    <w:p w:rsidR="005934B2" w:rsidRPr="001C27A1" w:rsidRDefault="005934B2" w:rsidP="00A401F8">
      <w:pPr>
        <w:jc w:val="right"/>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 xml:space="preserve">Tabela </w:t>
      </w:r>
      <w:r>
        <w:rPr>
          <w:rFonts w:asciiTheme="minorHAnsi" w:eastAsiaTheme="minorHAnsi" w:hAnsiTheme="minorHAnsi"/>
          <w:b/>
          <w:color w:val="auto"/>
          <w:sz w:val="20"/>
          <w:szCs w:val="20"/>
          <w:lang w:val="sr-Cyrl-RS" w:eastAsia="en-US"/>
        </w:rPr>
        <w:t>15</w:t>
      </w:r>
    </w:p>
    <w:p w:rsidR="005934B2" w:rsidRDefault="005934B2" w:rsidP="00A401F8">
      <w:pPr>
        <w:jc w:val="right"/>
        <w:rPr>
          <w:rFonts w:asciiTheme="minorHAnsi" w:eastAsiaTheme="minorHAnsi" w:hAnsiTheme="minorHAnsi"/>
          <w:color w:val="auto"/>
          <w:sz w:val="20"/>
          <w:szCs w:val="20"/>
          <w:lang w:val="sr-Cyrl-BA" w:eastAsia="en-US"/>
        </w:rPr>
      </w:pPr>
    </w:p>
    <w:tbl>
      <w:tblPr>
        <w:tblW w:w="8789" w:type="dxa"/>
        <w:tblInd w:w="108" w:type="dxa"/>
        <w:tblLayout w:type="fixed"/>
        <w:tblLook w:val="04A0" w:firstRow="1" w:lastRow="0" w:firstColumn="1" w:lastColumn="0" w:noHBand="0" w:noVBand="1"/>
      </w:tblPr>
      <w:tblGrid>
        <w:gridCol w:w="1276"/>
        <w:gridCol w:w="1134"/>
        <w:gridCol w:w="1513"/>
        <w:gridCol w:w="1389"/>
        <w:gridCol w:w="1351"/>
        <w:gridCol w:w="1275"/>
        <w:gridCol w:w="851"/>
      </w:tblGrid>
      <w:tr w:rsidR="005934B2" w:rsidRPr="00185E75" w:rsidTr="000366C5">
        <w:trPr>
          <w:trHeight w:val="765"/>
        </w:trPr>
        <w:tc>
          <w:tcPr>
            <w:tcW w:w="1276"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185E75" w:rsidRDefault="005934B2" w:rsidP="000366C5">
            <w:pPr>
              <w:jc w:val="left"/>
              <w:rPr>
                <w:rFonts w:asciiTheme="minorHAnsi" w:hAnsiTheme="minorHAnsi"/>
                <w:b/>
                <w:bCs/>
                <w:sz w:val="18"/>
                <w:szCs w:val="18"/>
              </w:rPr>
            </w:pPr>
            <w:r w:rsidRPr="00185E75">
              <w:rPr>
                <w:rFonts w:asciiTheme="minorHAnsi" w:hAnsiTheme="minorHAnsi"/>
                <w:b/>
                <w:bCs/>
                <w:sz w:val="18"/>
                <w:szCs w:val="18"/>
              </w:rPr>
              <w:t>Status</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5934B2" w:rsidRPr="00185E75" w:rsidRDefault="005934B2" w:rsidP="000366C5">
            <w:pPr>
              <w:jc w:val="center"/>
              <w:rPr>
                <w:rFonts w:asciiTheme="minorHAnsi" w:hAnsiTheme="minorHAnsi"/>
                <w:b/>
                <w:bCs/>
                <w:sz w:val="18"/>
                <w:szCs w:val="18"/>
              </w:rPr>
            </w:pPr>
            <w:r w:rsidRPr="00185E75">
              <w:rPr>
                <w:rFonts w:asciiTheme="minorHAnsi" w:hAnsiTheme="minorHAnsi"/>
                <w:b/>
                <w:bCs/>
                <w:sz w:val="18"/>
                <w:szCs w:val="18"/>
              </w:rPr>
              <w:t>Broj kredita/ garancija</w:t>
            </w:r>
          </w:p>
        </w:tc>
        <w:tc>
          <w:tcPr>
            <w:tcW w:w="1513" w:type="dxa"/>
            <w:tcBorders>
              <w:top w:val="single" w:sz="4" w:space="0" w:color="auto"/>
              <w:left w:val="nil"/>
              <w:bottom w:val="single" w:sz="4" w:space="0" w:color="auto"/>
              <w:right w:val="single" w:sz="4" w:space="0" w:color="auto"/>
            </w:tcBorders>
            <w:shd w:val="clear" w:color="000000" w:fill="8DB4E2"/>
            <w:vAlign w:val="center"/>
            <w:hideMark/>
          </w:tcPr>
          <w:p w:rsidR="005934B2" w:rsidRPr="00185E75" w:rsidRDefault="005934B2" w:rsidP="000366C5">
            <w:pPr>
              <w:jc w:val="center"/>
              <w:rPr>
                <w:rFonts w:asciiTheme="minorHAnsi" w:hAnsiTheme="minorHAnsi"/>
                <w:b/>
                <w:bCs/>
                <w:sz w:val="18"/>
                <w:szCs w:val="18"/>
              </w:rPr>
            </w:pPr>
            <w:r w:rsidRPr="00185E75">
              <w:rPr>
                <w:rFonts w:asciiTheme="minorHAnsi" w:hAnsiTheme="minorHAnsi"/>
                <w:b/>
                <w:bCs/>
                <w:sz w:val="18"/>
                <w:szCs w:val="18"/>
              </w:rPr>
              <w:t xml:space="preserve">Nominalni iznos kredita </w:t>
            </w:r>
          </w:p>
        </w:tc>
        <w:tc>
          <w:tcPr>
            <w:tcW w:w="1389" w:type="dxa"/>
            <w:tcBorders>
              <w:top w:val="single" w:sz="4" w:space="0" w:color="auto"/>
              <w:left w:val="nil"/>
              <w:bottom w:val="single" w:sz="4" w:space="0" w:color="auto"/>
              <w:right w:val="single" w:sz="4" w:space="0" w:color="auto"/>
            </w:tcBorders>
            <w:shd w:val="clear" w:color="000000" w:fill="8DB4E2"/>
            <w:vAlign w:val="center"/>
            <w:hideMark/>
          </w:tcPr>
          <w:p w:rsidR="005934B2" w:rsidRPr="00185E75" w:rsidRDefault="005934B2" w:rsidP="000366C5">
            <w:pPr>
              <w:jc w:val="center"/>
              <w:rPr>
                <w:rFonts w:asciiTheme="minorHAnsi" w:hAnsiTheme="minorHAnsi"/>
                <w:b/>
                <w:bCs/>
                <w:sz w:val="18"/>
                <w:szCs w:val="18"/>
              </w:rPr>
            </w:pPr>
            <w:r w:rsidRPr="00185E75">
              <w:rPr>
                <w:rFonts w:asciiTheme="minorHAnsi" w:hAnsiTheme="minorHAnsi"/>
                <w:b/>
                <w:bCs/>
                <w:sz w:val="18"/>
                <w:szCs w:val="18"/>
              </w:rPr>
              <w:t>Nominalni iznos garancija</w:t>
            </w:r>
          </w:p>
        </w:tc>
        <w:tc>
          <w:tcPr>
            <w:tcW w:w="1351" w:type="dxa"/>
            <w:tcBorders>
              <w:top w:val="single" w:sz="4" w:space="0" w:color="auto"/>
              <w:left w:val="nil"/>
              <w:bottom w:val="single" w:sz="4" w:space="0" w:color="auto"/>
              <w:right w:val="single" w:sz="4" w:space="0" w:color="auto"/>
            </w:tcBorders>
            <w:shd w:val="clear" w:color="000000" w:fill="8DB4E2"/>
            <w:vAlign w:val="center"/>
            <w:hideMark/>
          </w:tcPr>
          <w:p w:rsidR="005934B2" w:rsidRPr="00185E75" w:rsidRDefault="005934B2" w:rsidP="000366C5">
            <w:pPr>
              <w:jc w:val="center"/>
              <w:rPr>
                <w:rFonts w:asciiTheme="minorHAnsi" w:hAnsiTheme="minorHAnsi"/>
                <w:b/>
                <w:bCs/>
                <w:sz w:val="18"/>
                <w:szCs w:val="18"/>
              </w:rPr>
            </w:pPr>
            <w:r w:rsidRPr="00185E75">
              <w:rPr>
                <w:rFonts w:asciiTheme="minorHAnsi" w:hAnsiTheme="minorHAnsi"/>
                <w:b/>
                <w:bCs/>
                <w:sz w:val="18"/>
                <w:szCs w:val="18"/>
              </w:rPr>
              <w:t>Stanje kredita na dan 31.12.2024.</w:t>
            </w:r>
          </w:p>
        </w:tc>
        <w:tc>
          <w:tcPr>
            <w:tcW w:w="1275" w:type="dxa"/>
            <w:tcBorders>
              <w:top w:val="single" w:sz="4" w:space="0" w:color="auto"/>
              <w:left w:val="nil"/>
              <w:bottom w:val="single" w:sz="4" w:space="0" w:color="auto"/>
              <w:right w:val="single" w:sz="4" w:space="0" w:color="auto"/>
            </w:tcBorders>
            <w:shd w:val="clear" w:color="000000" w:fill="8DB4E2"/>
            <w:vAlign w:val="center"/>
            <w:hideMark/>
          </w:tcPr>
          <w:p w:rsidR="005934B2" w:rsidRPr="00185E75" w:rsidRDefault="005934B2" w:rsidP="000366C5">
            <w:pPr>
              <w:jc w:val="center"/>
              <w:rPr>
                <w:rFonts w:asciiTheme="minorHAnsi" w:hAnsiTheme="minorHAnsi"/>
                <w:b/>
                <w:bCs/>
                <w:sz w:val="18"/>
                <w:szCs w:val="18"/>
              </w:rPr>
            </w:pPr>
            <w:r w:rsidRPr="00185E75">
              <w:rPr>
                <w:rFonts w:asciiTheme="minorHAnsi" w:hAnsiTheme="minorHAnsi"/>
                <w:b/>
                <w:bCs/>
                <w:sz w:val="18"/>
                <w:szCs w:val="18"/>
              </w:rPr>
              <w:t>Stanje garancija na dan 31.12.2024.</w:t>
            </w:r>
          </w:p>
        </w:tc>
        <w:tc>
          <w:tcPr>
            <w:tcW w:w="851" w:type="dxa"/>
            <w:tcBorders>
              <w:top w:val="single" w:sz="4" w:space="0" w:color="auto"/>
              <w:left w:val="nil"/>
              <w:bottom w:val="single" w:sz="4" w:space="0" w:color="auto"/>
              <w:right w:val="single" w:sz="4" w:space="0" w:color="auto"/>
            </w:tcBorders>
            <w:shd w:val="clear" w:color="000000" w:fill="8DB4E2"/>
            <w:noWrap/>
            <w:vAlign w:val="center"/>
            <w:hideMark/>
          </w:tcPr>
          <w:p w:rsidR="005934B2" w:rsidRPr="00185E75" w:rsidRDefault="005934B2" w:rsidP="000366C5">
            <w:pPr>
              <w:jc w:val="center"/>
              <w:rPr>
                <w:rFonts w:asciiTheme="minorHAnsi" w:hAnsiTheme="minorHAnsi"/>
                <w:b/>
                <w:bCs/>
                <w:sz w:val="18"/>
                <w:szCs w:val="18"/>
              </w:rPr>
            </w:pPr>
            <w:r w:rsidRPr="00185E75">
              <w:rPr>
                <w:rFonts w:asciiTheme="minorHAnsi" w:hAnsiTheme="minorHAnsi"/>
                <w:b/>
                <w:bCs/>
                <w:sz w:val="18"/>
                <w:szCs w:val="18"/>
              </w:rPr>
              <w:t>Učešće</w:t>
            </w:r>
          </w:p>
        </w:tc>
      </w:tr>
      <w:tr w:rsidR="005934B2" w:rsidRPr="00185E75" w:rsidTr="000366C5">
        <w:trPr>
          <w:trHeight w:val="49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5934B2" w:rsidRPr="00185E75" w:rsidRDefault="005934B2" w:rsidP="000366C5">
            <w:pPr>
              <w:jc w:val="left"/>
              <w:rPr>
                <w:rFonts w:asciiTheme="minorHAnsi" w:hAnsiTheme="minorHAnsi"/>
                <w:sz w:val="18"/>
                <w:szCs w:val="18"/>
              </w:rPr>
            </w:pPr>
            <w:r w:rsidRPr="00185E75">
              <w:rPr>
                <w:rFonts w:asciiTheme="minorHAnsi" w:hAnsiTheme="minorHAnsi"/>
                <w:sz w:val="18"/>
                <w:szCs w:val="18"/>
              </w:rPr>
              <w:t>Aktivno</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159</w:t>
            </w:r>
          </w:p>
        </w:tc>
        <w:tc>
          <w:tcPr>
            <w:tcW w:w="1513"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28.426.000,00</w:t>
            </w:r>
          </w:p>
        </w:tc>
        <w:tc>
          <w:tcPr>
            <w:tcW w:w="1389"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19.898.200,00</w:t>
            </w:r>
          </w:p>
        </w:tc>
        <w:tc>
          <w:tcPr>
            <w:tcW w:w="1351"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sz w:val="18"/>
                <w:szCs w:val="18"/>
              </w:rPr>
            </w:pPr>
            <w:r w:rsidRPr="00185E75">
              <w:rPr>
                <w:rFonts w:asciiTheme="minorHAnsi" w:hAnsiTheme="minorHAnsi"/>
                <w:sz w:val="18"/>
                <w:szCs w:val="18"/>
              </w:rPr>
              <w:t>10.977.651,75</w:t>
            </w:r>
          </w:p>
        </w:tc>
        <w:tc>
          <w:tcPr>
            <w:tcW w:w="1275"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sz w:val="18"/>
                <w:szCs w:val="18"/>
              </w:rPr>
            </w:pPr>
            <w:r w:rsidRPr="00185E75">
              <w:rPr>
                <w:rFonts w:asciiTheme="minorHAnsi" w:hAnsiTheme="minorHAnsi"/>
                <w:sz w:val="18"/>
                <w:szCs w:val="18"/>
              </w:rPr>
              <w:t>7.684.356,23</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46,67%</w:t>
            </w:r>
          </w:p>
        </w:tc>
      </w:tr>
      <w:tr w:rsidR="005934B2" w:rsidRPr="00185E75" w:rsidTr="000366C5">
        <w:trPr>
          <w:trHeight w:val="525"/>
        </w:trPr>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5934B2" w:rsidRPr="00185E75" w:rsidRDefault="005934B2" w:rsidP="000366C5">
            <w:pPr>
              <w:jc w:val="left"/>
              <w:rPr>
                <w:rFonts w:asciiTheme="minorHAnsi" w:hAnsiTheme="minorHAnsi"/>
                <w:sz w:val="18"/>
                <w:szCs w:val="18"/>
              </w:rPr>
            </w:pPr>
            <w:r w:rsidRPr="00185E75">
              <w:rPr>
                <w:rFonts w:asciiTheme="minorHAnsi" w:hAnsiTheme="minorHAnsi"/>
                <w:sz w:val="18"/>
                <w:szCs w:val="18"/>
              </w:rPr>
              <w:t>Van snage</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252</w:t>
            </w:r>
          </w:p>
        </w:tc>
        <w:tc>
          <w:tcPr>
            <w:tcW w:w="1513"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31.734.629,00</w:t>
            </w:r>
          </w:p>
        </w:tc>
        <w:tc>
          <w:tcPr>
            <w:tcW w:w="1389"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22.214.240,30</w:t>
            </w:r>
          </w:p>
        </w:tc>
        <w:tc>
          <w:tcPr>
            <w:tcW w:w="1351"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0,00</w:t>
            </w:r>
          </w:p>
        </w:tc>
        <w:tc>
          <w:tcPr>
            <w:tcW w:w="1275"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52,10%</w:t>
            </w:r>
          </w:p>
        </w:tc>
      </w:tr>
      <w:tr w:rsidR="005934B2" w:rsidRPr="00185E75" w:rsidTr="000366C5">
        <w:trPr>
          <w:trHeight w:val="51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5934B2" w:rsidRPr="00185E75" w:rsidRDefault="005934B2" w:rsidP="000366C5">
            <w:pPr>
              <w:ind w:right="-108"/>
              <w:jc w:val="left"/>
              <w:rPr>
                <w:rFonts w:asciiTheme="minorHAnsi" w:hAnsiTheme="minorHAnsi"/>
                <w:sz w:val="18"/>
                <w:szCs w:val="18"/>
              </w:rPr>
            </w:pPr>
            <w:r w:rsidRPr="00185E75">
              <w:rPr>
                <w:rFonts w:asciiTheme="minorHAnsi" w:hAnsiTheme="minorHAnsi"/>
                <w:sz w:val="18"/>
                <w:szCs w:val="18"/>
              </w:rPr>
              <w:t xml:space="preserve">Protestovano i plaćeno </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sz w:val="18"/>
                <w:szCs w:val="18"/>
              </w:rPr>
            </w:pPr>
            <w:r w:rsidRPr="00185E75">
              <w:rPr>
                <w:rFonts w:asciiTheme="minorHAnsi" w:hAnsiTheme="minorHAnsi"/>
                <w:sz w:val="18"/>
                <w:szCs w:val="18"/>
              </w:rPr>
              <w:t>5</w:t>
            </w:r>
          </w:p>
        </w:tc>
        <w:tc>
          <w:tcPr>
            <w:tcW w:w="1513"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750.000,00</w:t>
            </w:r>
          </w:p>
        </w:tc>
        <w:tc>
          <w:tcPr>
            <w:tcW w:w="1389"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525.000,00</w:t>
            </w:r>
          </w:p>
        </w:tc>
        <w:tc>
          <w:tcPr>
            <w:tcW w:w="1351"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sz w:val="18"/>
                <w:szCs w:val="18"/>
              </w:rPr>
            </w:pPr>
            <w:r w:rsidRPr="00185E75">
              <w:rPr>
                <w:rFonts w:asciiTheme="minorHAnsi" w:hAnsiTheme="minorHAnsi"/>
                <w:sz w:val="18"/>
                <w:szCs w:val="18"/>
              </w:rPr>
              <w:t>0,00</w:t>
            </w:r>
          </w:p>
        </w:tc>
        <w:tc>
          <w:tcPr>
            <w:tcW w:w="1275"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sz w:val="18"/>
                <w:szCs w:val="18"/>
              </w:rPr>
            </w:pPr>
            <w:r w:rsidRPr="00185E75">
              <w:rPr>
                <w:rFonts w:asciiTheme="minorHAnsi" w:hAnsiTheme="minorHAnsi"/>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5934B2" w:rsidRPr="00185E75" w:rsidRDefault="005934B2" w:rsidP="000366C5">
            <w:pPr>
              <w:jc w:val="right"/>
              <w:rPr>
                <w:rFonts w:asciiTheme="minorHAnsi" w:hAnsiTheme="minorHAnsi"/>
                <w:color w:val="auto"/>
                <w:sz w:val="18"/>
                <w:szCs w:val="18"/>
              </w:rPr>
            </w:pPr>
            <w:r w:rsidRPr="00185E75">
              <w:rPr>
                <w:rFonts w:asciiTheme="minorHAnsi" w:hAnsiTheme="minorHAnsi"/>
                <w:color w:val="auto"/>
                <w:sz w:val="18"/>
                <w:szCs w:val="18"/>
              </w:rPr>
              <w:t>1,23%</w:t>
            </w:r>
          </w:p>
        </w:tc>
      </w:tr>
      <w:tr w:rsidR="005934B2" w:rsidRPr="00185E75" w:rsidTr="000366C5">
        <w:trPr>
          <w:trHeight w:val="315"/>
        </w:trPr>
        <w:tc>
          <w:tcPr>
            <w:tcW w:w="1276" w:type="dxa"/>
            <w:tcBorders>
              <w:top w:val="nil"/>
              <w:left w:val="single" w:sz="4" w:space="0" w:color="auto"/>
              <w:bottom w:val="single" w:sz="4" w:space="0" w:color="auto"/>
              <w:right w:val="single" w:sz="4" w:space="0" w:color="auto"/>
            </w:tcBorders>
            <w:shd w:val="clear" w:color="000000" w:fill="8DB4E2"/>
            <w:noWrap/>
            <w:vAlign w:val="center"/>
            <w:hideMark/>
          </w:tcPr>
          <w:p w:rsidR="005934B2" w:rsidRPr="00185E75" w:rsidRDefault="005934B2" w:rsidP="000366C5">
            <w:pPr>
              <w:jc w:val="center"/>
              <w:rPr>
                <w:rFonts w:asciiTheme="minorHAnsi" w:hAnsiTheme="minorHAnsi"/>
                <w:b/>
                <w:bCs/>
                <w:sz w:val="18"/>
                <w:szCs w:val="18"/>
              </w:rPr>
            </w:pPr>
            <w:r w:rsidRPr="00185E75">
              <w:rPr>
                <w:rFonts w:asciiTheme="minorHAnsi" w:hAnsiTheme="minorHAnsi"/>
                <w:b/>
                <w:bCs/>
                <w:sz w:val="18"/>
                <w:szCs w:val="18"/>
              </w:rPr>
              <w:t>UKUPNO</w:t>
            </w:r>
          </w:p>
        </w:tc>
        <w:tc>
          <w:tcPr>
            <w:tcW w:w="1134" w:type="dxa"/>
            <w:tcBorders>
              <w:top w:val="nil"/>
              <w:left w:val="nil"/>
              <w:bottom w:val="single" w:sz="4" w:space="0" w:color="auto"/>
              <w:right w:val="single" w:sz="4" w:space="0" w:color="auto"/>
            </w:tcBorders>
            <w:shd w:val="clear" w:color="000000" w:fill="8DB4E2"/>
            <w:noWrap/>
            <w:vAlign w:val="center"/>
            <w:hideMark/>
          </w:tcPr>
          <w:p w:rsidR="005934B2" w:rsidRPr="00185E75" w:rsidRDefault="005934B2" w:rsidP="000366C5">
            <w:pPr>
              <w:jc w:val="right"/>
              <w:rPr>
                <w:rFonts w:asciiTheme="minorHAnsi" w:hAnsiTheme="minorHAnsi"/>
                <w:b/>
                <w:bCs/>
                <w:sz w:val="18"/>
                <w:szCs w:val="18"/>
              </w:rPr>
            </w:pPr>
            <w:r w:rsidRPr="00185E75">
              <w:rPr>
                <w:rFonts w:asciiTheme="minorHAnsi" w:hAnsiTheme="minorHAnsi"/>
                <w:b/>
                <w:bCs/>
                <w:sz w:val="18"/>
                <w:szCs w:val="18"/>
              </w:rPr>
              <w:t>416</w:t>
            </w:r>
          </w:p>
        </w:tc>
        <w:tc>
          <w:tcPr>
            <w:tcW w:w="1513" w:type="dxa"/>
            <w:tcBorders>
              <w:top w:val="nil"/>
              <w:left w:val="nil"/>
              <w:bottom w:val="single" w:sz="4" w:space="0" w:color="auto"/>
              <w:right w:val="single" w:sz="4" w:space="0" w:color="auto"/>
            </w:tcBorders>
            <w:shd w:val="clear" w:color="000000" w:fill="8DB4E2"/>
            <w:noWrap/>
            <w:vAlign w:val="center"/>
            <w:hideMark/>
          </w:tcPr>
          <w:p w:rsidR="005934B2" w:rsidRPr="00185E75" w:rsidRDefault="005934B2" w:rsidP="000366C5">
            <w:pPr>
              <w:jc w:val="right"/>
              <w:rPr>
                <w:rFonts w:asciiTheme="minorHAnsi" w:hAnsiTheme="minorHAnsi"/>
                <w:b/>
                <w:bCs/>
                <w:sz w:val="18"/>
                <w:szCs w:val="18"/>
              </w:rPr>
            </w:pPr>
            <w:r w:rsidRPr="00185E75">
              <w:rPr>
                <w:rFonts w:asciiTheme="minorHAnsi" w:hAnsiTheme="minorHAnsi"/>
                <w:b/>
                <w:bCs/>
                <w:sz w:val="18"/>
                <w:szCs w:val="18"/>
              </w:rPr>
              <w:t>60.910.629,00</w:t>
            </w:r>
          </w:p>
        </w:tc>
        <w:tc>
          <w:tcPr>
            <w:tcW w:w="1389" w:type="dxa"/>
            <w:tcBorders>
              <w:top w:val="nil"/>
              <w:left w:val="nil"/>
              <w:bottom w:val="single" w:sz="4" w:space="0" w:color="auto"/>
              <w:right w:val="single" w:sz="4" w:space="0" w:color="auto"/>
            </w:tcBorders>
            <w:shd w:val="clear" w:color="000000" w:fill="8DB4E2"/>
            <w:noWrap/>
            <w:vAlign w:val="center"/>
            <w:hideMark/>
          </w:tcPr>
          <w:p w:rsidR="005934B2" w:rsidRPr="00185E75" w:rsidRDefault="005934B2" w:rsidP="000366C5">
            <w:pPr>
              <w:jc w:val="right"/>
              <w:rPr>
                <w:rFonts w:asciiTheme="minorHAnsi" w:hAnsiTheme="minorHAnsi"/>
                <w:b/>
                <w:bCs/>
                <w:sz w:val="18"/>
                <w:szCs w:val="18"/>
              </w:rPr>
            </w:pPr>
            <w:r w:rsidRPr="00185E75">
              <w:rPr>
                <w:rFonts w:asciiTheme="minorHAnsi" w:hAnsiTheme="minorHAnsi"/>
                <w:b/>
                <w:bCs/>
                <w:sz w:val="18"/>
                <w:szCs w:val="18"/>
              </w:rPr>
              <w:t>42.637.440,30</w:t>
            </w:r>
          </w:p>
        </w:tc>
        <w:tc>
          <w:tcPr>
            <w:tcW w:w="1351" w:type="dxa"/>
            <w:tcBorders>
              <w:top w:val="nil"/>
              <w:left w:val="nil"/>
              <w:bottom w:val="single" w:sz="4" w:space="0" w:color="auto"/>
              <w:right w:val="single" w:sz="4" w:space="0" w:color="auto"/>
            </w:tcBorders>
            <w:shd w:val="clear" w:color="000000" w:fill="8DB4E2"/>
            <w:noWrap/>
            <w:vAlign w:val="center"/>
            <w:hideMark/>
          </w:tcPr>
          <w:p w:rsidR="005934B2" w:rsidRPr="00185E75" w:rsidRDefault="005934B2" w:rsidP="000366C5">
            <w:pPr>
              <w:jc w:val="right"/>
              <w:rPr>
                <w:rFonts w:asciiTheme="minorHAnsi" w:hAnsiTheme="minorHAnsi"/>
                <w:b/>
                <w:bCs/>
                <w:sz w:val="18"/>
                <w:szCs w:val="18"/>
              </w:rPr>
            </w:pPr>
            <w:r w:rsidRPr="00185E75">
              <w:rPr>
                <w:rFonts w:asciiTheme="minorHAnsi" w:hAnsiTheme="minorHAnsi"/>
                <w:b/>
                <w:bCs/>
                <w:sz w:val="18"/>
                <w:szCs w:val="18"/>
              </w:rPr>
              <w:t>10.977.651,75</w:t>
            </w:r>
          </w:p>
        </w:tc>
        <w:tc>
          <w:tcPr>
            <w:tcW w:w="1275" w:type="dxa"/>
            <w:tcBorders>
              <w:top w:val="nil"/>
              <w:left w:val="nil"/>
              <w:bottom w:val="single" w:sz="4" w:space="0" w:color="auto"/>
              <w:right w:val="single" w:sz="4" w:space="0" w:color="auto"/>
            </w:tcBorders>
            <w:shd w:val="clear" w:color="000000" w:fill="8DB4E2"/>
            <w:noWrap/>
            <w:vAlign w:val="center"/>
            <w:hideMark/>
          </w:tcPr>
          <w:p w:rsidR="005934B2" w:rsidRPr="00185E75" w:rsidRDefault="005934B2" w:rsidP="000366C5">
            <w:pPr>
              <w:jc w:val="right"/>
              <w:rPr>
                <w:rFonts w:asciiTheme="minorHAnsi" w:hAnsiTheme="minorHAnsi"/>
                <w:b/>
                <w:bCs/>
                <w:sz w:val="18"/>
                <w:szCs w:val="18"/>
              </w:rPr>
            </w:pPr>
            <w:r w:rsidRPr="00185E75">
              <w:rPr>
                <w:rFonts w:asciiTheme="minorHAnsi" w:hAnsiTheme="minorHAnsi"/>
                <w:b/>
                <w:bCs/>
                <w:sz w:val="18"/>
                <w:szCs w:val="18"/>
              </w:rPr>
              <w:t>7.684.356,23</w:t>
            </w:r>
          </w:p>
        </w:tc>
        <w:tc>
          <w:tcPr>
            <w:tcW w:w="851" w:type="dxa"/>
            <w:tcBorders>
              <w:top w:val="nil"/>
              <w:left w:val="nil"/>
              <w:bottom w:val="single" w:sz="4" w:space="0" w:color="auto"/>
              <w:right w:val="single" w:sz="4" w:space="0" w:color="auto"/>
            </w:tcBorders>
            <w:shd w:val="clear" w:color="000000" w:fill="8DB4E2"/>
            <w:noWrap/>
            <w:vAlign w:val="center"/>
            <w:hideMark/>
          </w:tcPr>
          <w:p w:rsidR="005934B2" w:rsidRPr="00185E75" w:rsidRDefault="005934B2" w:rsidP="000366C5">
            <w:pPr>
              <w:jc w:val="right"/>
              <w:rPr>
                <w:rFonts w:asciiTheme="minorHAnsi" w:hAnsiTheme="minorHAnsi"/>
                <w:b/>
                <w:bCs/>
                <w:sz w:val="18"/>
                <w:szCs w:val="18"/>
              </w:rPr>
            </w:pPr>
            <w:r w:rsidRPr="00185E75">
              <w:rPr>
                <w:rFonts w:asciiTheme="minorHAnsi" w:hAnsiTheme="minorHAnsi"/>
                <w:b/>
                <w:bCs/>
                <w:sz w:val="18"/>
                <w:szCs w:val="18"/>
              </w:rPr>
              <w:t>100,00%</w:t>
            </w:r>
          </w:p>
        </w:tc>
      </w:tr>
    </w:tbl>
    <w:p w:rsidR="005934B2" w:rsidRPr="001C27A1" w:rsidRDefault="005934B2" w:rsidP="00A401F8">
      <w:pPr>
        <w:jc w:val="left"/>
        <w:rPr>
          <w:rFonts w:asciiTheme="minorHAnsi" w:eastAsiaTheme="minorHAnsi" w:hAnsiTheme="minorHAnsi"/>
          <w:color w:val="auto"/>
          <w:sz w:val="20"/>
          <w:szCs w:val="20"/>
          <w:lang w:val="sr-Cyrl-BA" w:eastAsia="en-US"/>
        </w:rPr>
      </w:pPr>
    </w:p>
    <w:p w:rsidR="005934B2" w:rsidRDefault="005934B2" w:rsidP="00A401F8">
      <w:pPr>
        <w:rPr>
          <w:rFonts w:asciiTheme="minorHAnsi" w:eastAsiaTheme="minorHAnsi" w:hAnsiTheme="minorHAnsi"/>
          <w:color w:val="auto"/>
          <w:sz w:val="20"/>
          <w:szCs w:val="20"/>
          <w:lang w:val="sr-Cyrl-BA" w:eastAsia="en-US"/>
        </w:rPr>
      </w:pPr>
    </w:p>
    <w:p w:rsidR="005934B2" w:rsidRDefault="005934B2" w:rsidP="00A401F8">
      <w:pPr>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 xml:space="preserve">Do </w:t>
      </w:r>
      <w:r w:rsidRPr="00615026">
        <w:rPr>
          <w:rFonts w:asciiTheme="minorHAnsi" w:eastAsiaTheme="minorHAnsi" w:hAnsiTheme="minorHAnsi"/>
          <w:color w:val="auto"/>
          <w:sz w:val="20"/>
          <w:szCs w:val="20"/>
          <w:lang w:val="sr-Cyrl-BA" w:eastAsia="en-US"/>
        </w:rPr>
        <w:t xml:space="preserve">dana 31.12.2024. godine, van snage su stavljene ukupno 252 garancije odobrene u nominalnom iznosu od </w:t>
      </w:r>
      <w:r w:rsidRPr="00615026">
        <w:rPr>
          <w:rFonts w:asciiTheme="minorHAnsi" w:hAnsiTheme="minorHAnsi"/>
          <w:color w:val="auto"/>
          <w:sz w:val="20"/>
          <w:szCs w:val="20"/>
        </w:rPr>
        <w:t>22.214.240,30</w:t>
      </w:r>
      <w:r w:rsidRPr="00615026">
        <w:rPr>
          <w:rFonts w:asciiTheme="minorHAnsi" w:hAnsiTheme="minorHAnsi"/>
          <w:color w:val="auto"/>
          <w:sz w:val="20"/>
          <w:szCs w:val="20"/>
          <w:lang w:val="sr-Cyrl-RS"/>
        </w:rPr>
        <w:t xml:space="preserve"> </w:t>
      </w:r>
      <w:r w:rsidRPr="00615026">
        <w:rPr>
          <w:rFonts w:asciiTheme="minorHAnsi" w:eastAsiaTheme="minorHAnsi" w:hAnsiTheme="minorHAnsi"/>
          <w:color w:val="auto"/>
          <w:sz w:val="20"/>
          <w:szCs w:val="20"/>
          <w:lang w:val="sr-Cyrl-BA" w:eastAsia="en-US"/>
        </w:rPr>
        <w:t>KM</w:t>
      </w:r>
      <w:r w:rsidRPr="001C27A1">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Od navedenog broja, 110 garancija odobrenih u nominalnom iznosu od  9.466.540,00 KM je stavljeno van snage u 2024. godini. Osnov za stavljanje van snage je redovni istek, prijevremena otplata ili odbijen protest zbog neispunjenosti uslova. Tokom 2024. godine je protestovano 9 garancija u iznosu od 507.093,99 KM, pri čemu je utvrđeno da je samo jedan zahtjev opravdan, te je izvršeno plaćanje u iznosu 37.575,83 KM, što odgovara stanju garancije na dan protesta. Preostalih 8 protestovanih garancija je po automatizmu stavljeno van snage, kao i 102 garancije koje su redovno istekle ili su krediti otplaćeni prije vremena.</w:t>
      </w:r>
    </w:p>
    <w:p w:rsidR="005934B2" w:rsidRDefault="005934B2" w:rsidP="00A401F8">
      <w:pPr>
        <w:rPr>
          <w:rFonts w:asciiTheme="minorHAnsi" w:eastAsiaTheme="minorHAnsi" w:hAnsiTheme="minorHAnsi"/>
          <w:color w:val="auto"/>
          <w:sz w:val="20"/>
          <w:szCs w:val="20"/>
          <w:lang w:val="sr-Cyrl-BA" w:eastAsia="en-US"/>
        </w:rPr>
      </w:pPr>
    </w:p>
    <w:p w:rsidR="005934B2" w:rsidRPr="001C27A1" w:rsidRDefault="005934B2" w:rsidP="00A401F8">
      <w:pPr>
        <w:rPr>
          <w:rFonts w:asciiTheme="minorHAnsi" w:eastAsiaTheme="minorHAnsi" w:hAnsiTheme="minorHAnsi"/>
          <w:color w:val="auto"/>
          <w:sz w:val="20"/>
          <w:szCs w:val="20"/>
          <w:lang w:val="sr-Cyrl-BA" w:eastAsia="en-US"/>
        </w:rPr>
      </w:pPr>
      <w:r w:rsidRPr="001C27A1">
        <w:rPr>
          <w:rFonts w:asciiTheme="minorHAnsi" w:eastAsiaTheme="minorHAnsi" w:hAnsiTheme="minorHAnsi"/>
          <w:color w:val="auto"/>
          <w:sz w:val="20"/>
          <w:szCs w:val="20"/>
          <w:lang w:val="sr-Cyrl-BA" w:eastAsia="en-US"/>
        </w:rPr>
        <w:t>Na dan 31.12.202</w:t>
      </w:r>
      <w:r>
        <w:rPr>
          <w:rFonts w:asciiTheme="minorHAnsi" w:eastAsiaTheme="minorHAnsi" w:hAnsiTheme="minorHAnsi"/>
          <w:color w:val="auto"/>
          <w:sz w:val="20"/>
          <w:szCs w:val="20"/>
          <w:lang w:val="sr-Cyrl-BA" w:eastAsia="en-US"/>
        </w:rPr>
        <w:t>4</w:t>
      </w:r>
      <w:r w:rsidRPr="001C27A1">
        <w:rPr>
          <w:rFonts w:asciiTheme="minorHAnsi" w:eastAsiaTheme="minorHAnsi" w:hAnsiTheme="minorHAnsi"/>
          <w:color w:val="auto"/>
          <w:sz w:val="20"/>
          <w:szCs w:val="20"/>
          <w:lang w:val="sr-Cyrl-BA" w:eastAsia="en-US"/>
        </w:rPr>
        <w:t xml:space="preserve">. </w:t>
      </w:r>
      <w:r w:rsidRPr="008D07B2">
        <w:rPr>
          <w:rFonts w:asciiTheme="minorHAnsi" w:eastAsiaTheme="minorHAnsi" w:hAnsiTheme="minorHAnsi"/>
          <w:color w:val="auto"/>
          <w:sz w:val="20"/>
          <w:szCs w:val="20"/>
          <w:lang w:val="sr-Cyrl-BA" w:eastAsia="en-US"/>
        </w:rPr>
        <w:t xml:space="preserve">godine, aktivno je 159 garancija koje su odobrene u nominalnom iznosu od </w:t>
      </w:r>
      <w:r w:rsidRPr="008D07B2">
        <w:rPr>
          <w:rFonts w:asciiTheme="minorHAnsi" w:hAnsiTheme="minorHAnsi"/>
          <w:color w:val="auto"/>
          <w:sz w:val="20"/>
          <w:szCs w:val="20"/>
        </w:rPr>
        <w:t>19.898.200,00</w:t>
      </w:r>
      <w:r w:rsidRPr="008D07B2">
        <w:rPr>
          <w:rFonts w:asciiTheme="minorHAnsi" w:hAnsiTheme="minorHAnsi"/>
          <w:color w:val="auto"/>
          <w:sz w:val="20"/>
          <w:szCs w:val="20"/>
          <w:lang w:val="sr-Cyrl-RS"/>
        </w:rPr>
        <w:t xml:space="preserve"> KM</w:t>
      </w:r>
      <w:r w:rsidRPr="008D07B2">
        <w:rPr>
          <w:rFonts w:asciiTheme="minorHAnsi" w:eastAsiaTheme="minorHAnsi" w:hAnsiTheme="minorHAnsi"/>
          <w:color w:val="auto"/>
          <w:sz w:val="20"/>
          <w:szCs w:val="20"/>
          <w:lang w:val="sr-Cyrl-BA" w:eastAsia="en-US"/>
        </w:rPr>
        <w:t xml:space="preserve">, čije stanje na ovaj dan iznosi </w:t>
      </w:r>
      <w:r w:rsidRPr="008D07B2">
        <w:rPr>
          <w:rFonts w:asciiTheme="minorHAnsi" w:hAnsiTheme="minorHAnsi"/>
          <w:sz w:val="20"/>
          <w:szCs w:val="20"/>
        </w:rPr>
        <w:t>7.684.356,23</w:t>
      </w:r>
      <w:r w:rsidRPr="008D07B2">
        <w:rPr>
          <w:rFonts w:asciiTheme="minorHAnsi" w:eastAsiaTheme="minorHAnsi" w:hAnsiTheme="minorHAnsi"/>
          <w:color w:val="auto"/>
          <w:sz w:val="20"/>
          <w:szCs w:val="20"/>
          <w:lang w:val="sr-Cyrl-BA" w:eastAsia="en-US"/>
        </w:rPr>
        <w:t>KM.</w:t>
      </w:r>
      <w:r w:rsidRPr="008D07B2">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r>
      <w:r w:rsidRPr="001C27A1">
        <w:rPr>
          <w:rFonts w:asciiTheme="minorHAnsi" w:eastAsiaTheme="minorHAnsi" w:hAnsiTheme="minorHAnsi"/>
          <w:color w:val="auto"/>
          <w:sz w:val="20"/>
          <w:szCs w:val="20"/>
          <w:lang w:val="sr-Cyrl-BA" w:eastAsia="en-US"/>
        </w:rPr>
        <w:tab/>
        <w:t xml:space="preserve">        </w:t>
      </w:r>
    </w:p>
    <w:p w:rsidR="005934B2" w:rsidRPr="001C27A1" w:rsidRDefault="005934B2" w:rsidP="00A401F8">
      <w:pPr>
        <w:jc w:val="center"/>
        <w:rPr>
          <w:rFonts w:asciiTheme="minorHAnsi" w:eastAsiaTheme="minorHAnsi" w:hAnsiTheme="minorHAnsi"/>
          <w:b/>
          <w:color w:val="auto"/>
          <w:sz w:val="20"/>
          <w:szCs w:val="20"/>
          <w:lang w:val="sr-Cyrl-RS" w:eastAsia="en-US"/>
        </w:rPr>
      </w:pPr>
      <w:r w:rsidRPr="001C27A1">
        <w:rPr>
          <w:rFonts w:asciiTheme="minorHAnsi" w:eastAsiaTheme="minorHAnsi" w:hAnsiTheme="minorHAnsi"/>
          <w:b/>
          <w:color w:val="auto"/>
          <w:sz w:val="20"/>
          <w:szCs w:val="20"/>
          <w:lang w:val="sr-Cyrl-RS" w:eastAsia="en-US"/>
        </w:rPr>
        <w:t xml:space="preserve">Pregled stanja garancija i maksimalno dozvoljenog iznosa garancija na nivou  kreditnog portfelja finansijskih posrednika u </w:t>
      </w:r>
      <w:r w:rsidRPr="001C27A1">
        <w:rPr>
          <w:rFonts w:asciiTheme="minorHAnsi" w:eastAsiaTheme="minorHAnsi" w:hAnsiTheme="minorHAnsi"/>
          <w:b/>
          <w:noProof/>
          <w:color w:val="auto"/>
          <w:sz w:val="20"/>
          <w:szCs w:val="20"/>
          <w:lang w:val="sr-Cyrl-BA"/>
        </w:rPr>
        <w:t xml:space="preserve"> </w:t>
      </w:r>
      <w:r w:rsidRPr="001C27A1">
        <w:rPr>
          <w:rFonts w:asciiTheme="minorHAnsi" w:eastAsiaTheme="minorHAnsi" w:hAnsiTheme="minorHAnsi"/>
          <w:b/>
          <w:color w:val="auto"/>
          <w:sz w:val="20"/>
          <w:szCs w:val="20"/>
          <w:lang w:val="sr-Cyrl-BA" w:eastAsia="en-US"/>
        </w:rPr>
        <w:t xml:space="preserve">Garantnom programu </w:t>
      </w:r>
      <w:r w:rsidRPr="001C27A1">
        <w:rPr>
          <w:rFonts w:asciiTheme="minorHAnsi" w:eastAsiaTheme="minorHAnsi" w:hAnsiTheme="minorHAnsi"/>
          <w:b/>
          <w:color w:val="auto"/>
          <w:sz w:val="20"/>
          <w:szCs w:val="20"/>
          <w:lang w:val="sr-Latn-BA" w:eastAsia="en-US"/>
        </w:rPr>
        <w:t xml:space="preserve"> COVID 19</w:t>
      </w:r>
      <w:r w:rsidRPr="001C27A1">
        <w:rPr>
          <w:rFonts w:asciiTheme="minorHAnsi" w:eastAsiaTheme="minorHAnsi" w:hAnsiTheme="minorHAnsi"/>
          <w:b/>
          <w:color w:val="auto"/>
          <w:sz w:val="20"/>
          <w:szCs w:val="20"/>
          <w:lang w:val="sr-Cyrl-BA" w:eastAsia="en-US"/>
        </w:rPr>
        <w:t xml:space="preserve"> </w:t>
      </w:r>
      <w:r w:rsidRPr="001C27A1">
        <w:rPr>
          <w:rFonts w:asciiTheme="minorHAnsi" w:eastAsiaTheme="minorHAnsi" w:hAnsiTheme="minorHAnsi"/>
          <w:b/>
          <w:color w:val="auto"/>
          <w:sz w:val="20"/>
          <w:szCs w:val="20"/>
          <w:lang w:val="sr-Cyrl-RS" w:eastAsia="en-US"/>
        </w:rPr>
        <w:t>na dan 31.12.</w:t>
      </w:r>
      <w:r>
        <w:rPr>
          <w:rFonts w:asciiTheme="minorHAnsi" w:eastAsiaTheme="minorHAnsi" w:hAnsiTheme="minorHAnsi"/>
          <w:b/>
          <w:color w:val="auto"/>
          <w:sz w:val="20"/>
          <w:szCs w:val="20"/>
          <w:lang w:val="sr-Cyrl-RS" w:eastAsia="en-US"/>
        </w:rPr>
        <w:t>2024.</w:t>
      </w:r>
      <w:r w:rsidRPr="001C27A1">
        <w:rPr>
          <w:rFonts w:asciiTheme="minorHAnsi" w:eastAsiaTheme="minorHAnsi" w:hAnsiTheme="minorHAnsi"/>
          <w:b/>
          <w:color w:val="auto"/>
          <w:sz w:val="20"/>
          <w:szCs w:val="20"/>
          <w:lang w:val="sr-Cyrl-RS" w:eastAsia="en-US"/>
        </w:rPr>
        <w:t xml:space="preserve"> godine</w:t>
      </w:r>
    </w:p>
    <w:p w:rsidR="005934B2" w:rsidRPr="001C27A1" w:rsidRDefault="005934B2" w:rsidP="00A401F8">
      <w:pPr>
        <w:rPr>
          <w:rFonts w:asciiTheme="minorHAnsi" w:eastAsiaTheme="minorHAnsi" w:hAnsiTheme="minorHAnsi"/>
          <w:color w:val="000000" w:themeColor="text1"/>
          <w:sz w:val="20"/>
          <w:szCs w:val="20"/>
          <w:lang w:val="sr-Cyrl-RS" w:eastAsia="en-US"/>
        </w:rPr>
      </w:pPr>
    </w:p>
    <w:p w:rsidR="005934B2" w:rsidRPr="008D07B2" w:rsidRDefault="005934B2" w:rsidP="00A401F8">
      <w:pPr>
        <w:rPr>
          <w:rFonts w:asciiTheme="minorHAnsi" w:eastAsiaTheme="minorHAnsi" w:hAnsiTheme="minorHAnsi"/>
          <w:b/>
          <w:color w:val="000000" w:themeColor="text1"/>
          <w:sz w:val="20"/>
          <w:szCs w:val="20"/>
          <w:lang w:val="sr-Cyrl-RS" w:eastAsia="en-US"/>
        </w:rPr>
      </w:pP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color w:val="000000" w:themeColor="text1"/>
          <w:sz w:val="20"/>
          <w:szCs w:val="20"/>
          <w:lang w:val="sr-Cyrl-RS" w:eastAsia="en-US"/>
        </w:rPr>
        <w:tab/>
      </w:r>
      <w:r w:rsidRPr="001C27A1">
        <w:rPr>
          <w:rFonts w:asciiTheme="minorHAnsi" w:eastAsiaTheme="minorHAnsi" w:hAnsiTheme="minorHAnsi"/>
          <w:b/>
          <w:color w:val="000000" w:themeColor="text1"/>
          <w:sz w:val="20"/>
          <w:szCs w:val="20"/>
          <w:lang w:val="sr-Cyrl-RS" w:eastAsia="en-US"/>
        </w:rPr>
        <w:t xml:space="preserve">Tabela </w:t>
      </w:r>
      <w:r>
        <w:rPr>
          <w:rFonts w:asciiTheme="minorHAnsi" w:eastAsiaTheme="minorHAnsi" w:hAnsiTheme="minorHAnsi"/>
          <w:b/>
          <w:color w:val="000000" w:themeColor="text1"/>
          <w:sz w:val="20"/>
          <w:szCs w:val="20"/>
          <w:lang w:val="sr-Cyrl-RS" w:eastAsia="en-US"/>
        </w:rPr>
        <w:t>16</w:t>
      </w:r>
    </w:p>
    <w:tbl>
      <w:tblPr>
        <w:tblW w:w="8647" w:type="dxa"/>
        <w:tblInd w:w="108" w:type="dxa"/>
        <w:tblLook w:val="04A0" w:firstRow="1" w:lastRow="0" w:firstColumn="1" w:lastColumn="0" w:noHBand="0" w:noVBand="1"/>
      </w:tblPr>
      <w:tblGrid>
        <w:gridCol w:w="2977"/>
        <w:gridCol w:w="1559"/>
        <w:gridCol w:w="1418"/>
        <w:gridCol w:w="1417"/>
        <w:gridCol w:w="1276"/>
      </w:tblGrid>
      <w:tr w:rsidR="005934B2" w:rsidRPr="008D07B2" w:rsidTr="000366C5">
        <w:trPr>
          <w:trHeight w:val="1440"/>
        </w:trPr>
        <w:tc>
          <w:tcPr>
            <w:tcW w:w="297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8D07B2" w:rsidRDefault="005934B2" w:rsidP="000366C5">
            <w:pPr>
              <w:jc w:val="center"/>
              <w:rPr>
                <w:rFonts w:ascii="Calibri" w:hAnsi="Calibri" w:cs="Arial"/>
                <w:b/>
                <w:bCs/>
                <w:color w:val="auto"/>
                <w:sz w:val="18"/>
                <w:szCs w:val="18"/>
              </w:rPr>
            </w:pPr>
            <w:r w:rsidRPr="008D07B2">
              <w:rPr>
                <w:rFonts w:ascii="Calibri" w:hAnsi="Calibri" w:cs="Arial"/>
                <w:b/>
                <w:bCs/>
                <w:color w:val="auto"/>
                <w:sz w:val="18"/>
                <w:szCs w:val="18"/>
              </w:rPr>
              <w:t>Naziv banke</w:t>
            </w:r>
          </w:p>
        </w:tc>
        <w:tc>
          <w:tcPr>
            <w:tcW w:w="1559" w:type="dxa"/>
            <w:tcBorders>
              <w:top w:val="single" w:sz="4" w:space="0" w:color="auto"/>
              <w:left w:val="nil"/>
              <w:bottom w:val="single" w:sz="4" w:space="0" w:color="auto"/>
              <w:right w:val="single" w:sz="4" w:space="0" w:color="auto"/>
            </w:tcBorders>
            <w:shd w:val="clear" w:color="000000" w:fill="8DB4E2"/>
            <w:vAlign w:val="center"/>
            <w:hideMark/>
          </w:tcPr>
          <w:p w:rsidR="005934B2" w:rsidRPr="008D07B2" w:rsidRDefault="005934B2" w:rsidP="000366C5">
            <w:pPr>
              <w:jc w:val="center"/>
              <w:rPr>
                <w:rFonts w:ascii="Calibri" w:hAnsi="Calibri" w:cs="Arial"/>
                <w:b/>
                <w:bCs/>
                <w:color w:val="auto"/>
                <w:sz w:val="18"/>
                <w:szCs w:val="18"/>
              </w:rPr>
            </w:pPr>
            <w:r w:rsidRPr="008D07B2">
              <w:rPr>
                <w:rFonts w:ascii="Calibri" w:hAnsi="Calibri" w:cs="Arial"/>
                <w:b/>
                <w:bCs/>
                <w:color w:val="auto"/>
                <w:sz w:val="18"/>
                <w:szCs w:val="18"/>
              </w:rPr>
              <w:t>Broj aktivnih garancija na dan 31.12.2024.</w:t>
            </w:r>
          </w:p>
        </w:tc>
        <w:tc>
          <w:tcPr>
            <w:tcW w:w="1418" w:type="dxa"/>
            <w:tcBorders>
              <w:top w:val="single" w:sz="4" w:space="0" w:color="auto"/>
              <w:left w:val="nil"/>
              <w:bottom w:val="single" w:sz="4" w:space="0" w:color="auto"/>
              <w:right w:val="single" w:sz="4" w:space="0" w:color="auto"/>
            </w:tcBorders>
            <w:shd w:val="clear" w:color="000000" w:fill="8DB4E2"/>
            <w:vAlign w:val="center"/>
            <w:hideMark/>
          </w:tcPr>
          <w:p w:rsidR="005934B2" w:rsidRPr="008D07B2" w:rsidRDefault="005934B2" w:rsidP="000366C5">
            <w:pPr>
              <w:jc w:val="center"/>
              <w:rPr>
                <w:rFonts w:ascii="Calibri" w:hAnsi="Calibri" w:cs="Arial"/>
                <w:b/>
                <w:bCs/>
                <w:color w:val="auto"/>
                <w:sz w:val="18"/>
                <w:szCs w:val="18"/>
              </w:rPr>
            </w:pPr>
            <w:r w:rsidRPr="008D07B2">
              <w:rPr>
                <w:rFonts w:ascii="Calibri" w:hAnsi="Calibri" w:cs="Arial"/>
                <w:b/>
                <w:bCs/>
                <w:color w:val="auto"/>
                <w:sz w:val="18"/>
                <w:szCs w:val="18"/>
              </w:rPr>
              <w:t>Stanje kredita na dan 31.12.2024.</w:t>
            </w:r>
          </w:p>
        </w:tc>
        <w:tc>
          <w:tcPr>
            <w:tcW w:w="1417" w:type="dxa"/>
            <w:tcBorders>
              <w:top w:val="single" w:sz="4" w:space="0" w:color="auto"/>
              <w:left w:val="nil"/>
              <w:bottom w:val="single" w:sz="4" w:space="0" w:color="auto"/>
              <w:right w:val="single" w:sz="4" w:space="0" w:color="auto"/>
            </w:tcBorders>
            <w:shd w:val="clear" w:color="000000" w:fill="8DB4E2"/>
            <w:vAlign w:val="center"/>
            <w:hideMark/>
          </w:tcPr>
          <w:p w:rsidR="005934B2" w:rsidRPr="008D07B2" w:rsidRDefault="005934B2" w:rsidP="000366C5">
            <w:pPr>
              <w:jc w:val="center"/>
              <w:rPr>
                <w:rFonts w:ascii="Calibri" w:hAnsi="Calibri" w:cs="Arial"/>
                <w:b/>
                <w:bCs/>
                <w:color w:val="auto"/>
                <w:sz w:val="18"/>
                <w:szCs w:val="18"/>
              </w:rPr>
            </w:pPr>
            <w:r w:rsidRPr="008D07B2">
              <w:rPr>
                <w:rFonts w:ascii="Calibri" w:hAnsi="Calibri" w:cs="Arial"/>
                <w:b/>
                <w:bCs/>
                <w:color w:val="auto"/>
                <w:sz w:val="18"/>
                <w:szCs w:val="18"/>
              </w:rPr>
              <w:t>Stanje garancija na dan 31.12.2024.</w:t>
            </w:r>
          </w:p>
        </w:tc>
        <w:tc>
          <w:tcPr>
            <w:tcW w:w="1276" w:type="dxa"/>
            <w:tcBorders>
              <w:top w:val="single" w:sz="4" w:space="0" w:color="auto"/>
              <w:left w:val="nil"/>
              <w:bottom w:val="single" w:sz="4" w:space="0" w:color="auto"/>
              <w:right w:val="single" w:sz="4" w:space="0" w:color="auto"/>
            </w:tcBorders>
            <w:shd w:val="clear" w:color="000000" w:fill="8DB4E2"/>
            <w:vAlign w:val="center"/>
            <w:hideMark/>
          </w:tcPr>
          <w:p w:rsidR="005934B2" w:rsidRPr="008D07B2" w:rsidRDefault="005934B2" w:rsidP="000366C5">
            <w:pPr>
              <w:jc w:val="center"/>
              <w:rPr>
                <w:rFonts w:ascii="Calibri" w:hAnsi="Calibri" w:cs="Arial"/>
                <w:b/>
                <w:bCs/>
                <w:color w:val="auto"/>
                <w:sz w:val="18"/>
                <w:szCs w:val="18"/>
              </w:rPr>
            </w:pPr>
            <w:r w:rsidRPr="008D07B2">
              <w:rPr>
                <w:rFonts w:ascii="Calibri" w:hAnsi="Calibri" w:cs="Arial"/>
                <w:b/>
                <w:bCs/>
                <w:color w:val="auto"/>
                <w:sz w:val="18"/>
                <w:szCs w:val="18"/>
              </w:rPr>
              <w:t>Maksimalni dozvoljeni iznos garancije (uz maks. stopu pokrića 21%) na dan 31.12.2024.</w:t>
            </w:r>
          </w:p>
        </w:tc>
      </w:tr>
      <w:tr w:rsidR="005934B2" w:rsidRPr="008D07B2" w:rsidTr="000366C5">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Procredit bank d.d. Sarajevo</w:t>
            </w:r>
          </w:p>
        </w:tc>
        <w:tc>
          <w:tcPr>
            <w:tcW w:w="1559"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88</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8.157.770,52</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5.710.439,36</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1.713.131,81</w:t>
            </w:r>
          </w:p>
        </w:tc>
      </w:tr>
      <w:tr w:rsidR="005934B2" w:rsidRPr="008D07B2" w:rsidTr="000366C5">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MF banka a.d. Banja Luka</w:t>
            </w:r>
          </w:p>
        </w:tc>
        <w:tc>
          <w:tcPr>
            <w:tcW w:w="1559"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35</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1.710.258,28</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1.197.180,80</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359.154,24</w:t>
            </w:r>
          </w:p>
        </w:tc>
      </w:tr>
      <w:tr w:rsidR="005934B2" w:rsidRPr="008D07B2" w:rsidTr="000366C5">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Nova banka a.d. Banja Luka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14</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641.709,88</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449.196,92</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134.759,07</w:t>
            </w:r>
          </w:p>
        </w:tc>
      </w:tr>
      <w:tr w:rsidR="005934B2" w:rsidRPr="008D07B2" w:rsidTr="000366C5">
        <w:trPr>
          <w:trHeight w:val="255"/>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Unicredit bank a.d. Banja Luka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6</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286.704,42</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200.693,09</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60.207,93</w:t>
            </w:r>
          </w:p>
        </w:tc>
      </w:tr>
      <w:tr w:rsidR="005934B2" w:rsidRPr="008D07B2" w:rsidTr="000366C5">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ATOS BANK a.d. Banja Luka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9</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94.514,58</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66.160,21</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19.848,06</w:t>
            </w:r>
          </w:p>
        </w:tc>
      </w:tr>
      <w:tr w:rsidR="005934B2" w:rsidRPr="008D07B2" w:rsidTr="000366C5">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Raiffeisen bank d.d. Bosna i Hercegovina</w:t>
            </w:r>
          </w:p>
        </w:tc>
        <w:tc>
          <w:tcPr>
            <w:tcW w:w="1559"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53.745,51</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37.621,86</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11.286,56</w:t>
            </w:r>
          </w:p>
        </w:tc>
      </w:tr>
      <w:tr w:rsidR="005934B2" w:rsidRPr="008D07B2" w:rsidTr="000366C5">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Banka Poštanska štedionica a.d. Banja Luka</w:t>
            </w:r>
          </w:p>
        </w:tc>
        <w:tc>
          <w:tcPr>
            <w:tcW w:w="1559"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2</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9.809,11</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6.866,38</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2.059,91</w:t>
            </w:r>
          </w:p>
        </w:tc>
      </w:tr>
      <w:tr w:rsidR="005934B2" w:rsidRPr="008D07B2" w:rsidTr="000366C5">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NLB banka a.d. Banja Luka</w:t>
            </w:r>
          </w:p>
        </w:tc>
        <w:tc>
          <w:tcPr>
            <w:tcW w:w="1559"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2</w:t>
            </w:r>
          </w:p>
        </w:tc>
        <w:tc>
          <w:tcPr>
            <w:tcW w:w="1418" w:type="dxa"/>
            <w:tcBorders>
              <w:top w:val="nil"/>
              <w:left w:val="nil"/>
              <w:bottom w:val="single" w:sz="4" w:space="0" w:color="auto"/>
              <w:right w:val="single" w:sz="4" w:space="0" w:color="auto"/>
            </w:tcBorders>
            <w:shd w:val="clear" w:color="auto" w:fill="auto"/>
            <w:noWrap/>
            <w:vAlign w:val="bottom"/>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23.139,45</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16.197,62</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4.859,28</w:t>
            </w:r>
          </w:p>
        </w:tc>
      </w:tr>
      <w:tr w:rsidR="005934B2" w:rsidRPr="008D07B2" w:rsidTr="000366C5">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4B2" w:rsidRPr="008D07B2" w:rsidRDefault="005934B2" w:rsidP="000366C5">
            <w:pPr>
              <w:jc w:val="left"/>
              <w:rPr>
                <w:rFonts w:ascii="Calibri" w:hAnsi="Calibri" w:cs="Arial"/>
                <w:color w:val="auto"/>
                <w:sz w:val="18"/>
                <w:szCs w:val="18"/>
              </w:rPr>
            </w:pPr>
            <w:r w:rsidRPr="008D07B2">
              <w:rPr>
                <w:rFonts w:ascii="Calibri" w:hAnsi="Calibri" w:cs="Arial"/>
                <w:color w:val="auto"/>
                <w:sz w:val="18"/>
                <w:szCs w:val="18"/>
              </w:rPr>
              <w:t>MKD Mikrofin d.o.o. Banja Luka</w:t>
            </w:r>
          </w:p>
        </w:tc>
        <w:tc>
          <w:tcPr>
            <w:tcW w:w="1559"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center"/>
              <w:rPr>
                <w:rFonts w:ascii="Calibri" w:hAnsi="Calibri" w:cs="Arial"/>
                <w:color w:val="auto"/>
                <w:sz w:val="18"/>
                <w:szCs w:val="18"/>
              </w:rPr>
            </w:pPr>
            <w:r w:rsidRPr="008D07B2">
              <w:rPr>
                <w:rFonts w:ascii="Calibri" w:hAnsi="Calibri" w:cs="Arial"/>
                <w:color w:val="auto"/>
                <w:sz w:val="18"/>
                <w:szCs w:val="18"/>
              </w:rPr>
              <w:t>0</w:t>
            </w:r>
          </w:p>
        </w:tc>
        <w:tc>
          <w:tcPr>
            <w:tcW w:w="1418"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sz w:val="18"/>
                <w:szCs w:val="18"/>
              </w:rPr>
            </w:pPr>
            <w:r w:rsidRPr="008D07B2">
              <w:rPr>
                <w:rFonts w:ascii="Calibri" w:hAnsi="Calibri" w:cs="Arial"/>
                <w:sz w:val="18"/>
                <w:szCs w:val="18"/>
              </w:rPr>
              <w:t>0,00</w:t>
            </w:r>
          </w:p>
        </w:tc>
        <w:tc>
          <w:tcPr>
            <w:tcW w:w="1417"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5934B2" w:rsidRPr="008D07B2" w:rsidRDefault="005934B2" w:rsidP="000366C5">
            <w:pPr>
              <w:jc w:val="right"/>
              <w:rPr>
                <w:rFonts w:ascii="Calibri" w:hAnsi="Calibri" w:cs="Arial"/>
                <w:color w:val="auto"/>
                <w:sz w:val="18"/>
                <w:szCs w:val="18"/>
              </w:rPr>
            </w:pPr>
            <w:r w:rsidRPr="008D07B2">
              <w:rPr>
                <w:rFonts w:ascii="Calibri" w:hAnsi="Calibri" w:cs="Arial"/>
                <w:color w:val="auto"/>
                <w:sz w:val="18"/>
                <w:szCs w:val="18"/>
              </w:rPr>
              <w:t>0,00</w:t>
            </w:r>
          </w:p>
        </w:tc>
      </w:tr>
      <w:tr w:rsidR="005934B2" w:rsidRPr="008D07B2" w:rsidTr="000366C5">
        <w:trPr>
          <w:trHeight w:val="405"/>
        </w:trPr>
        <w:tc>
          <w:tcPr>
            <w:tcW w:w="297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8D07B2" w:rsidRDefault="005934B2" w:rsidP="000366C5">
            <w:pPr>
              <w:jc w:val="center"/>
              <w:rPr>
                <w:rFonts w:ascii="Calibri" w:hAnsi="Calibri" w:cs="Arial"/>
                <w:b/>
                <w:bCs/>
                <w:color w:val="auto"/>
                <w:sz w:val="18"/>
                <w:szCs w:val="18"/>
              </w:rPr>
            </w:pPr>
            <w:r w:rsidRPr="008D07B2">
              <w:rPr>
                <w:rFonts w:ascii="Calibri" w:hAnsi="Calibri" w:cs="Arial"/>
                <w:b/>
                <w:bCs/>
                <w:color w:val="auto"/>
                <w:sz w:val="18"/>
                <w:szCs w:val="18"/>
              </w:rPr>
              <w:t>UKUPNO</w:t>
            </w:r>
          </w:p>
        </w:tc>
        <w:tc>
          <w:tcPr>
            <w:tcW w:w="1559" w:type="dxa"/>
            <w:tcBorders>
              <w:top w:val="nil"/>
              <w:left w:val="nil"/>
              <w:bottom w:val="single" w:sz="4" w:space="0" w:color="auto"/>
              <w:right w:val="single" w:sz="4" w:space="0" w:color="auto"/>
            </w:tcBorders>
            <w:shd w:val="clear" w:color="000000" w:fill="8DB4E2"/>
            <w:vAlign w:val="center"/>
            <w:hideMark/>
          </w:tcPr>
          <w:p w:rsidR="005934B2" w:rsidRPr="008D07B2" w:rsidRDefault="005934B2" w:rsidP="000366C5">
            <w:pPr>
              <w:jc w:val="center"/>
              <w:rPr>
                <w:rFonts w:ascii="Calibri" w:hAnsi="Calibri" w:cs="Arial"/>
                <w:b/>
                <w:bCs/>
                <w:color w:val="auto"/>
                <w:sz w:val="18"/>
                <w:szCs w:val="18"/>
              </w:rPr>
            </w:pPr>
            <w:r w:rsidRPr="008D07B2">
              <w:rPr>
                <w:rFonts w:ascii="Calibri" w:hAnsi="Calibri" w:cs="Arial"/>
                <w:b/>
                <w:bCs/>
                <w:color w:val="auto"/>
                <w:sz w:val="18"/>
                <w:szCs w:val="18"/>
              </w:rPr>
              <w:t>159</w:t>
            </w:r>
          </w:p>
        </w:tc>
        <w:tc>
          <w:tcPr>
            <w:tcW w:w="1418" w:type="dxa"/>
            <w:tcBorders>
              <w:top w:val="nil"/>
              <w:left w:val="nil"/>
              <w:bottom w:val="single" w:sz="4" w:space="0" w:color="auto"/>
              <w:right w:val="single" w:sz="4" w:space="0" w:color="auto"/>
            </w:tcBorders>
            <w:shd w:val="clear" w:color="000000" w:fill="8DB4E2"/>
            <w:vAlign w:val="center"/>
            <w:hideMark/>
          </w:tcPr>
          <w:p w:rsidR="005934B2" w:rsidRPr="008D07B2" w:rsidRDefault="005934B2" w:rsidP="000366C5">
            <w:pPr>
              <w:jc w:val="right"/>
              <w:rPr>
                <w:rFonts w:ascii="Calibri" w:hAnsi="Calibri" w:cs="Arial"/>
                <w:b/>
                <w:bCs/>
                <w:color w:val="auto"/>
                <w:sz w:val="18"/>
                <w:szCs w:val="18"/>
              </w:rPr>
            </w:pPr>
            <w:r w:rsidRPr="008D07B2">
              <w:rPr>
                <w:rFonts w:ascii="Calibri" w:hAnsi="Calibri" w:cs="Arial"/>
                <w:b/>
                <w:bCs/>
                <w:color w:val="auto"/>
                <w:sz w:val="18"/>
                <w:szCs w:val="18"/>
              </w:rPr>
              <w:t>10.977.651,75</w:t>
            </w:r>
          </w:p>
        </w:tc>
        <w:tc>
          <w:tcPr>
            <w:tcW w:w="1417" w:type="dxa"/>
            <w:tcBorders>
              <w:top w:val="nil"/>
              <w:left w:val="nil"/>
              <w:bottom w:val="single" w:sz="4" w:space="0" w:color="auto"/>
              <w:right w:val="single" w:sz="4" w:space="0" w:color="auto"/>
            </w:tcBorders>
            <w:shd w:val="clear" w:color="000000" w:fill="8DB4E2"/>
            <w:vAlign w:val="center"/>
            <w:hideMark/>
          </w:tcPr>
          <w:p w:rsidR="005934B2" w:rsidRPr="008D07B2" w:rsidRDefault="005934B2" w:rsidP="000366C5">
            <w:pPr>
              <w:jc w:val="right"/>
              <w:rPr>
                <w:rFonts w:ascii="Calibri" w:hAnsi="Calibri" w:cs="Arial"/>
                <w:b/>
                <w:bCs/>
                <w:color w:val="auto"/>
                <w:sz w:val="18"/>
                <w:szCs w:val="18"/>
              </w:rPr>
            </w:pPr>
            <w:r w:rsidRPr="008D07B2">
              <w:rPr>
                <w:rFonts w:ascii="Calibri" w:hAnsi="Calibri" w:cs="Arial"/>
                <w:b/>
                <w:bCs/>
                <w:color w:val="auto"/>
                <w:sz w:val="18"/>
                <w:szCs w:val="18"/>
              </w:rPr>
              <w:t>7.684.356,23</w:t>
            </w:r>
          </w:p>
        </w:tc>
        <w:tc>
          <w:tcPr>
            <w:tcW w:w="1276" w:type="dxa"/>
            <w:tcBorders>
              <w:top w:val="nil"/>
              <w:left w:val="nil"/>
              <w:bottom w:val="single" w:sz="4" w:space="0" w:color="auto"/>
              <w:right w:val="single" w:sz="4" w:space="0" w:color="auto"/>
            </w:tcBorders>
            <w:shd w:val="clear" w:color="000000" w:fill="8DB4E2"/>
            <w:vAlign w:val="center"/>
            <w:hideMark/>
          </w:tcPr>
          <w:p w:rsidR="005934B2" w:rsidRPr="008D07B2" w:rsidRDefault="005934B2" w:rsidP="000366C5">
            <w:pPr>
              <w:jc w:val="right"/>
              <w:rPr>
                <w:rFonts w:ascii="Calibri" w:hAnsi="Calibri" w:cs="Arial"/>
                <w:b/>
                <w:bCs/>
                <w:color w:val="auto"/>
                <w:sz w:val="18"/>
                <w:szCs w:val="18"/>
              </w:rPr>
            </w:pPr>
            <w:r w:rsidRPr="008D07B2">
              <w:rPr>
                <w:rFonts w:ascii="Calibri" w:hAnsi="Calibri" w:cs="Arial"/>
                <w:b/>
                <w:bCs/>
                <w:color w:val="auto"/>
                <w:sz w:val="18"/>
                <w:szCs w:val="18"/>
              </w:rPr>
              <w:t>2.305.306,87</w:t>
            </w:r>
          </w:p>
        </w:tc>
      </w:tr>
    </w:tbl>
    <w:p w:rsidR="005934B2" w:rsidRPr="001C27A1" w:rsidRDefault="005934B2" w:rsidP="00A401F8">
      <w:pPr>
        <w:rPr>
          <w:rFonts w:asciiTheme="minorHAnsi" w:eastAsiaTheme="minorHAnsi" w:hAnsiTheme="minorHAnsi"/>
          <w:color w:val="auto"/>
          <w:sz w:val="20"/>
          <w:szCs w:val="20"/>
          <w:lang w:val="sr-Cyrl-BA" w:eastAsia="en-US"/>
        </w:rPr>
      </w:pPr>
    </w:p>
    <w:p w:rsidR="005934B2" w:rsidRPr="001C27A1" w:rsidRDefault="005934B2" w:rsidP="00A401F8">
      <w:pPr>
        <w:rPr>
          <w:rFonts w:asciiTheme="minorHAnsi" w:eastAsiaTheme="minorHAnsi" w:hAnsiTheme="minorHAnsi"/>
          <w:color w:val="auto"/>
          <w:sz w:val="20"/>
          <w:szCs w:val="20"/>
          <w:lang w:val="sr-Cyrl-RS" w:eastAsia="en-US"/>
        </w:rPr>
      </w:pPr>
      <w:r w:rsidRPr="001C27A1">
        <w:rPr>
          <w:rFonts w:asciiTheme="minorHAnsi" w:eastAsiaTheme="minorHAnsi" w:hAnsiTheme="minorHAnsi"/>
          <w:color w:val="auto"/>
          <w:sz w:val="20"/>
          <w:szCs w:val="20"/>
          <w:lang w:val="sr-Cyrl-BA" w:eastAsia="en-US"/>
        </w:rPr>
        <w:t xml:space="preserve">Odlukom o </w:t>
      </w:r>
      <w:r w:rsidRPr="001C27A1">
        <w:rPr>
          <w:rFonts w:asciiTheme="minorHAnsi" w:eastAsiaTheme="minorHAnsi" w:hAnsiTheme="minorHAnsi"/>
          <w:b/>
          <w:noProof/>
          <w:color w:val="auto"/>
          <w:sz w:val="20"/>
          <w:szCs w:val="20"/>
          <w:lang w:val="sr-Cyrl-BA"/>
        </w:rPr>
        <w:t xml:space="preserve"> </w:t>
      </w:r>
      <w:r w:rsidRPr="001C27A1">
        <w:rPr>
          <w:rFonts w:asciiTheme="minorHAnsi" w:eastAsiaTheme="minorHAnsi" w:hAnsiTheme="minorHAnsi"/>
          <w:color w:val="auto"/>
          <w:sz w:val="20"/>
          <w:szCs w:val="20"/>
          <w:lang w:val="sr-Cyrl-BA" w:eastAsia="en-US"/>
        </w:rPr>
        <w:t xml:space="preserve">Garantnom programu </w:t>
      </w:r>
      <w:r w:rsidRPr="001C27A1">
        <w:rPr>
          <w:rFonts w:asciiTheme="minorHAnsi" w:eastAsiaTheme="minorHAnsi" w:hAnsiTheme="minorHAnsi"/>
          <w:color w:val="auto"/>
          <w:sz w:val="20"/>
          <w:szCs w:val="20"/>
          <w:lang w:val="sr-Latn-BA" w:eastAsia="en-US"/>
        </w:rPr>
        <w:t xml:space="preserve"> COVID 19</w:t>
      </w:r>
      <w:r w:rsidRPr="001C27A1">
        <w:rPr>
          <w:rFonts w:asciiTheme="minorHAnsi" w:eastAsiaTheme="minorHAnsi" w:hAnsiTheme="minorHAnsi"/>
          <w:color w:val="auto"/>
          <w:sz w:val="20"/>
          <w:szCs w:val="20"/>
          <w:lang w:val="sr-Cyrl-BA" w:eastAsia="en-US"/>
        </w:rPr>
        <w:t xml:space="preserve"> je definisan maksimalni  dozvoljeni iznos garancije kreditnog portfolija kao proizvod stvarnog volumena portf</w:t>
      </w:r>
      <w:r>
        <w:rPr>
          <w:rFonts w:asciiTheme="minorHAnsi" w:eastAsiaTheme="minorHAnsi" w:hAnsiTheme="minorHAnsi"/>
          <w:color w:val="auto"/>
          <w:sz w:val="20"/>
          <w:szCs w:val="20"/>
          <w:lang w:val="sr-Cyrl-BA" w:eastAsia="en-US"/>
        </w:rPr>
        <w:t>elja</w:t>
      </w:r>
      <w:r w:rsidRPr="001C27A1">
        <w:rPr>
          <w:rFonts w:asciiTheme="minorHAnsi" w:eastAsiaTheme="minorHAnsi" w:hAnsiTheme="minorHAnsi"/>
          <w:color w:val="auto"/>
          <w:sz w:val="20"/>
          <w:szCs w:val="20"/>
          <w:lang w:val="sr-Cyrl-BA" w:eastAsia="en-US"/>
        </w:rPr>
        <w:t xml:space="preserve"> kredita, stope pokrića (70%), stope maksimalne garancije (30%) i stope puštanja kredita u tečaj.  Prema stanju kredita i pripadajućem stanju garancija, maksimalni dozvoljeni iznos garancije, odnosno maksimalna potencijalna obaveza Vlade Republike Srpske na dan 31.12.202</w:t>
      </w:r>
      <w:r>
        <w:rPr>
          <w:rFonts w:asciiTheme="minorHAnsi" w:eastAsiaTheme="minorHAnsi" w:hAnsiTheme="minorHAnsi"/>
          <w:color w:val="auto"/>
          <w:sz w:val="20"/>
          <w:szCs w:val="20"/>
          <w:lang w:val="sr-Cyrl-BA" w:eastAsia="en-US"/>
        </w:rPr>
        <w:t>4</w:t>
      </w:r>
      <w:r w:rsidRPr="001C27A1">
        <w:rPr>
          <w:rFonts w:asciiTheme="minorHAnsi" w:eastAsiaTheme="minorHAnsi" w:hAnsiTheme="minorHAnsi"/>
          <w:color w:val="auto"/>
          <w:sz w:val="20"/>
          <w:szCs w:val="20"/>
          <w:lang w:val="sr-Cyrl-BA" w:eastAsia="en-US"/>
        </w:rPr>
        <w:t xml:space="preserve">. godine </w:t>
      </w:r>
      <w:r>
        <w:rPr>
          <w:rFonts w:asciiTheme="minorHAnsi" w:eastAsiaTheme="minorHAnsi" w:hAnsiTheme="minorHAnsi"/>
          <w:color w:val="auto"/>
          <w:sz w:val="20"/>
          <w:szCs w:val="20"/>
          <w:lang w:val="sr-Cyrl-BA" w:eastAsia="en-US"/>
        </w:rPr>
        <w:t xml:space="preserve">je </w:t>
      </w:r>
      <w:r w:rsidRPr="001C27A1">
        <w:rPr>
          <w:rFonts w:asciiTheme="minorHAnsi" w:eastAsiaTheme="minorHAnsi" w:hAnsiTheme="minorHAnsi"/>
          <w:color w:val="auto"/>
          <w:sz w:val="20"/>
          <w:szCs w:val="20"/>
          <w:lang w:val="sr-Cyrl-BA" w:eastAsia="en-US"/>
        </w:rPr>
        <w:t>iznosi</w:t>
      </w:r>
      <w:r>
        <w:rPr>
          <w:rFonts w:asciiTheme="minorHAnsi" w:eastAsiaTheme="minorHAnsi" w:hAnsiTheme="minorHAnsi"/>
          <w:color w:val="auto"/>
          <w:sz w:val="20"/>
          <w:szCs w:val="20"/>
          <w:lang w:val="sr-Cyrl-BA" w:eastAsia="en-US"/>
        </w:rPr>
        <w:t>la</w:t>
      </w:r>
      <w:r w:rsidRPr="001C27A1">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RS" w:eastAsia="en-US"/>
        </w:rPr>
        <w:t>2.305.306,87</w:t>
      </w:r>
      <w:r w:rsidRPr="001C27A1">
        <w:rPr>
          <w:rFonts w:asciiTheme="minorHAnsi" w:eastAsiaTheme="minorHAnsi" w:hAnsiTheme="minorHAnsi"/>
          <w:color w:val="auto"/>
          <w:sz w:val="20"/>
          <w:szCs w:val="20"/>
          <w:lang w:val="sr-Cyrl-BA" w:eastAsia="en-US"/>
        </w:rPr>
        <w:t xml:space="preserve"> KM.</w:t>
      </w:r>
    </w:p>
    <w:p w:rsidR="005934B2" w:rsidRPr="001C27A1" w:rsidRDefault="005934B2" w:rsidP="00A401F8">
      <w:pPr>
        <w:jc w:val="right"/>
        <w:rPr>
          <w:rFonts w:asciiTheme="minorHAnsi" w:hAnsiTheme="minorHAnsi"/>
          <w:sz w:val="20"/>
          <w:szCs w:val="20"/>
          <w:lang w:val="sr-Cyrl-BA"/>
        </w:rPr>
      </w:pPr>
    </w:p>
    <w:p w:rsidR="005934B2" w:rsidRPr="001C27A1" w:rsidRDefault="005934B2" w:rsidP="00A401F8">
      <w:pPr>
        <w:spacing w:line="276" w:lineRule="auto"/>
        <w:jc w:val="center"/>
        <w:rPr>
          <w:rFonts w:asciiTheme="minorHAnsi" w:eastAsiaTheme="minorHAnsi" w:hAnsiTheme="minorHAnsi"/>
          <w:b/>
          <w:color w:val="auto"/>
          <w:sz w:val="20"/>
          <w:szCs w:val="20"/>
          <w:lang w:val="sr-Cyrl-RS" w:eastAsia="en-US"/>
        </w:rPr>
      </w:pPr>
    </w:p>
    <w:p w:rsidR="005934B2" w:rsidRPr="001C27A1" w:rsidRDefault="005934B2" w:rsidP="00A401F8">
      <w:pPr>
        <w:spacing w:after="200" w:line="276" w:lineRule="auto"/>
        <w:jc w:val="left"/>
        <w:rPr>
          <w:rFonts w:asciiTheme="minorHAnsi" w:hAnsiTheme="minorHAnsi"/>
          <w:b/>
          <w:sz w:val="20"/>
          <w:szCs w:val="20"/>
          <w:lang w:val="sr-Cyrl-CS" w:eastAsia="sr-Cyrl-CS"/>
        </w:rPr>
      </w:pPr>
      <w:r w:rsidRPr="001C27A1">
        <w:rPr>
          <w:rFonts w:asciiTheme="minorHAnsi" w:hAnsiTheme="minorHAnsi"/>
          <w:b/>
          <w:sz w:val="20"/>
          <w:szCs w:val="20"/>
          <w:lang w:val="sr-Cyrl-CS" w:eastAsia="sr-Cyrl-CS"/>
        </w:rPr>
        <w:br w:type="page"/>
      </w:r>
    </w:p>
    <w:p w:rsidR="005934B2" w:rsidRPr="005767EF" w:rsidRDefault="005934B2" w:rsidP="00A401F8">
      <w:pPr>
        <w:rPr>
          <w:rFonts w:asciiTheme="minorHAnsi" w:hAnsiTheme="minorHAnsi"/>
          <w:b/>
          <w:sz w:val="20"/>
          <w:szCs w:val="20"/>
          <w:lang w:val="sr-Cyrl-CS" w:eastAsia="sr-Cyrl-CS"/>
        </w:rPr>
      </w:pPr>
    </w:p>
    <w:p w:rsidR="005934B2" w:rsidRPr="00EE16CE" w:rsidRDefault="005934B2" w:rsidP="00A401F8">
      <w:pPr>
        <w:pStyle w:val="Heading1"/>
        <w:numPr>
          <w:ilvl w:val="0"/>
          <w:numId w:val="0"/>
        </w:numPr>
        <w:ind w:left="431" w:hanging="431"/>
        <w:jc w:val="left"/>
        <w:rPr>
          <w:rFonts w:asciiTheme="minorHAnsi" w:hAnsiTheme="minorHAnsi"/>
          <w:lang w:val="sr-Cyrl-RS"/>
        </w:rPr>
      </w:pPr>
      <w:bookmarkStart w:id="11" w:name="_Toc135292174"/>
      <w:r>
        <w:rPr>
          <w:rFonts w:asciiTheme="minorHAnsi" w:hAnsiTheme="minorHAnsi"/>
          <w:lang w:val="sr-Cyrl-RS"/>
        </w:rPr>
        <w:t xml:space="preserve">3. </w:t>
      </w:r>
      <w:r w:rsidRPr="005767EF">
        <w:rPr>
          <w:rFonts w:asciiTheme="minorHAnsi" w:hAnsiTheme="minorHAnsi"/>
        </w:rPr>
        <w:t xml:space="preserve">ANALIZA </w:t>
      </w:r>
      <w:r w:rsidRPr="005767EF">
        <w:rPr>
          <w:rFonts w:asciiTheme="minorHAnsi" w:hAnsiTheme="minorHAnsi"/>
          <w:lang w:val="sr-Cyrl-BA"/>
        </w:rPr>
        <w:t>FINANSIJSKOG REZULTATA</w:t>
      </w:r>
      <w:r w:rsidRPr="005767EF">
        <w:rPr>
          <w:rFonts w:asciiTheme="minorHAnsi" w:hAnsiTheme="minorHAnsi"/>
        </w:rPr>
        <w:t xml:space="preserve"> </w:t>
      </w:r>
      <w:r>
        <w:rPr>
          <w:rFonts w:asciiTheme="minorHAnsi" w:hAnsiTheme="minorHAnsi"/>
          <w:lang w:val="sr-Cyrl-RS"/>
        </w:rPr>
        <w:t>U</w:t>
      </w:r>
      <w:r w:rsidRPr="005767EF">
        <w:rPr>
          <w:rFonts w:asciiTheme="minorHAnsi" w:hAnsiTheme="minorHAnsi"/>
        </w:rPr>
        <w:t xml:space="preserve"> 202</w:t>
      </w:r>
      <w:r>
        <w:rPr>
          <w:rFonts w:asciiTheme="minorHAnsi" w:hAnsiTheme="minorHAnsi"/>
          <w:lang w:val="bs-Latn-BA"/>
        </w:rPr>
        <w:t>4</w:t>
      </w:r>
      <w:r w:rsidRPr="005767EF">
        <w:rPr>
          <w:rFonts w:asciiTheme="minorHAnsi" w:hAnsiTheme="minorHAnsi"/>
        </w:rPr>
        <w:t>.</w:t>
      </w:r>
      <w:r w:rsidRPr="005767EF">
        <w:rPr>
          <w:rFonts w:asciiTheme="minorHAnsi" w:hAnsiTheme="minorHAnsi"/>
          <w:lang w:val="bs-Latn-BA"/>
        </w:rPr>
        <w:t xml:space="preserve"> </w:t>
      </w:r>
      <w:r w:rsidRPr="005767EF">
        <w:rPr>
          <w:rFonts w:asciiTheme="minorHAnsi" w:hAnsiTheme="minorHAnsi"/>
        </w:rPr>
        <w:t>GODIN</w:t>
      </w:r>
      <w:bookmarkEnd w:id="11"/>
      <w:r>
        <w:rPr>
          <w:rFonts w:asciiTheme="minorHAnsi" w:hAnsiTheme="minorHAnsi"/>
          <w:lang w:val="sr-Cyrl-RS"/>
        </w:rPr>
        <w:t>I</w:t>
      </w:r>
    </w:p>
    <w:p w:rsidR="005934B2" w:rsidRPr="00EE16CE" w:rsidRDefault="005934B2" w:rsidP="00A401F8">
      <w:pPr>
        <w:pStyle w:val="Heading2"/>
        <w:numPr>
          <w:ilvl w:val="0"/>
          <w:numId w:val="0"/>
        </w:numPr>
        <w:rPr>
          <w:rFonts w:asciiTheme="minorHAnsi" w:hAnsiTheme="minorHAnsi"/>
          <w:szCs w:val="20"/>
          <w:lang w:val="sr-Cyrl-RS"/>
        </w:rPr>
      </w:pPr>
      <w:bookmarkStart w:id="12" w:name="_Toc135292175"/>
      <w:r>
        <w:rPr>
          <w:rFonts w:asciiTheme="minorHAnsi" w:hAnsiTheme="minorHAnsi"/>
          <w:szCs w:val="20"/>
          <w:lang w:val="sr-Cyrl-RS"/>
        </w:rPr>
        <w:t xml:space="preserve">3.1. </w:t>
      </w:r>
      <w:r w:rsidRPr="005767EF">
        <w:rPr>
          <w:rFonts w:asciiTheme="minorHAnsi" w:hAnsiTheme="minorHAnsi"/>
          <w:szCs w:val="20"/>
        </w:rPr>
        <w:t xml:space="preserve">ANALIZA OSTVARENIH PRIHODA </w:t>
      </w:r>
      <w:r>
        <w:rPr>
          <w:rFonts w:asciiTheme="minorHAnsi" w:hAnsiTheme="minorHAnsi"/>
          <w:szCs w:val="20"/>
          <w:lang w:val="sr-Cyrl-RS"/>
        </w:rPr>
        <w:t>U</w:t>
      </w:r>
      <w:r w:rsidRPr="005767EF">
        <w:rPr>
          <w:rFonts w:asciiTheme="minorHAnsi" w:hAnsiTheme="minorHAnsi"/>
          <w:szCs w:val="20"/>
        </w:rPr>
        <w:t xml:space="preserve"> 202</w:t>
      </w:r>
      <w:r>
        <w:rPr>
          <w:rFonts w:asciiTheme="minorHAnsi" w:hAnsiTheme="minorHAnsi"/>
          <w:szCs w:val="20"/>
          <w:lang w:val="bs-Latn-BA"/>
        </w:rPr>
        <w:t>4</w:t>
      </w:r>
      <w:r w:rsidRPr="005767EF">
        <w:rPr>
          <w:rFonts w:asciiTheme="minorHAnsi" w:hAnsiTheme="minorHAnsi"/>
          <w:szCs w:val="20"/>
        </w:rPr>
        <w:t>.</w:t>
      </w:r>
      <w:r w:rsidRPr="005767EF">
        <w:rPr>
          <w:rFonts w:asciiTheme="minorHAnsi" w:hAnsiTheme="minorHAnsi"/>
          <w:szCs w:val="20"/>
          <w:lang w:val="bs-Latn-BA"/>
        </w:rPr>
        <w:t xml:space="preserve"> </w:t>
      </w:r>
      <w:r w:rsidRPr="005767EF">
        <w:rPr>
          <w:rFonts w:asciiTheme="minorHAnsi" w:hAnsiTheme="minorHAnsi"/>
          <w:szCs w:val="20"/>
        </w:rPr>
        <w:t>GODIN</w:t>
      </w:r>
      <w:bookmarkEnd w:id="12"/>
      <w:r>
        <w:rPr>
          <w:rFonts w:asciiTheme="minorHAnsi" w:hAnsiTheme="minorHAnsi"/>
          <w:szCs w:val="20"/>
          <w:lang w:val="sr-Cyrl-RS"/>
        </w:rPr>
        <w:t>I</w:t>
      </w:r>
    </w:p>
    <w:p w:rsidR="005934B2" w:rsidRPr="005767EF" w:rsidRDefault="005934B2" w:rsidP="00A401F8">
      <w:pPr>
        <w:rPr>
          <w:rFonts w:asciiTheme="minorHAnsi" w:hAnsiTheme="minorHAnsi"/>
          <w:color w:val="auto"/>
          <w:sz w:val="20"/>
          <w:szCs w:val="20"/>
          <w:lang w:val="sr-Cyrl-CS" w:eastAsia="sr-Cyrl-CS"/>
        </w:rPr>
      </w:pPr>
    </w:p>
    <w:p w:rsidR="005934B2" w:rsidRPr="005767EF" w:rsidRDefault="005934B2" w:rsidP="00A401F8">
      <w:pPr>
        <w:ind w:left="708"/>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Pregled ostvarenih prihoda u 202</w:t>
      </w:r>
      <w:r>
        <w:rPr>
          <w:rFonts w:asciiTheme="minorHAnsi" w:hAnsiTheme="minorHAnsi"/>
          <w:b/>
          <w:sz w:val="20"/>
          <w:szCs w:val="20"/>
          <w:lang w:eastAsia="sr-Cyrl-CS"/>
        </w:rPr>
        <w:t>4</w:t>
      </w:r>
      <w:r w:rsidRPr="005767EF">
        <w:rPr>
          <w:rFonts w:asciiTheme="minorHAnsi" w:hAnsiTheme="minorHAnsi"/>
          <w:b/>
          <w:sz w:val="20"/>
          <w:szCs w:val="20"/>
          <w:lang w:val="sr-Cyrl-CS" w:eastAsia="sr-Cyrl-CS"/>
        </w:rPr>
        <w:t>. godini</w:t>
      </w:r>
    </w:p>
    <w:p w:rsidR="005934B2" w:rsidRPr="005767EF" w:rsidRDefault="005934B2" w:rsidP="00A401F8">
      <w:pPr>
        <w:ind w:left="708"/>
        <w:jc w:val="center"/>
        <w:rPr>
          <w:rFonts w:asciiTheme="minorHAnsi" w:hAnsiTheme="minorHAnsi"/>
          <w:b/>
          <w:sz w:val="20"/>
          <w:szCs w:val="20"/>
          <w:lang w:val="sr-Cyrl-CS" w:eastAsia="sr-Cyrl-CS"/>
        </w:rPr>
      </w:pPr>
    </w:p>
    <w:p w:rsidR="005934B2" w:rsidRPr="0034546F" w:rsidRDefault="005934B2" w:rsidP="00A401F8">
      <w:pPr>
        <w:ind w:left="6381" w:firstLine="709"/>
        <w:rPr>
          <w:rFonts w:asciiTheme="minorHAnsi" w:hAnsiTheme="minorHAnsi"/>
          <w:sz w:val="20"/>
          <w:szCs w:val="20"/>
          <w:lang w:val="sr-Cyrl-RS" w:eastAsia="sr-Cyrl-CS"/>
        </w:rPr>
      </w:pPr>
      <w:r>
        <w:rPr>
          <w:rFonts w:asciiTheme="minorHAnsi" w:hAnsiTheme="minorHAnsi"/>
          <w:b/>
          <w:sz w:val="20"/>
          <w:szCs w:val="20"/>
          <w:lang w:val="sr-Cyrl-BA" w:eastAsia="sr-Cyrl-CS"/>
        </w:rPr>
        <w:t xml:space="preserve">             </w:t>
      </w:r>
      <w:r>
        <w:rPr>
          <w:rFonts w:asciiTheme="minorHAnsi" w:hAnsiTheme="minorHAnsi"/>
          <w:b/>
          <w:sz w:val="20"/>
          <w:szCs w:val="20"/>
          <w:lang w:eastAsia="sr-Cyrl-CS"/>
        </w:rPr>
        <w:t xml:space="preserve"> </w:t>
      </w:r>
      <w:r>
        <w:rPr>
          <w:rFonts w:asciiTheme="minorHAnsi" w:hAnsiTheme="minorHAnsi"/>
          <w:b/>
          <w:sz w:val="20"/>
          <w:szCs w:val="20"/>
          <w:lang w:val="sr-Cyrl-BA" w:eastAsia="sr-Cyrl-CS"/>
        </w:rPr>
        <w:t xml:space="preserve">    Tabela </w:t>
      </w:r>
      <w:r>
        <w:rPr>
          <w:rFonts w:asciiTheme="minorHAnsi" w:hAnsiTheme="minorHAnsi"/>
          <w:b/>
          <w:sz w:val="20"/>
          <w:szCs w:val="20"/>
          <w:lang w:val="sr-Cyrl-RS" w:eastAsia="sr-Cyrl-CS"/>
        </w:rPr>
        <w:t>17</w:t>
      </w:r>
    </w:p>
    <w:tbl>
      <w:tblPr>
        <w:tblW w:w="8804" w:type="dxa"/>
        <w:tblInd w:w="93" w:type="dxa"/>
        <w:tblLook w:val="04A0" w:firstRow="1" w:lastRow="0" w:firstColumn="1" w:lastColumn="0" w:noHBand="0" w:noVBand="1"/>
      </w:tblPr>
      <w:tblGrid>
        <w:gridCol w:w="3843"/>
        <w:gridCol w:w="1287"/>
        <w:gridCol w:w="1406"/>
        <w:gridCol w:w="856"/>
        <w:gridCol w:w="1412"/>
      </w:tblGrid>
      <w:tr w:rsidR="005934B2" w:rsidRPr="002661D0" w:rsidTr="000366C5">
        <w:trPr>
          <w:trHeight w:val="315"/>
        </w:trPr>
        <w:tc>
          <w:tcPr>
            <w:tcW w:w="3843"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Vrsta prihoda</w:t>
            </w:r>
          </w:p>
        </w:tc>
        <w:tc>
          <w:tcPr>
            <w:tcW w:w="1287"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Planirano u 2024. godini</w:t>
            </w:r>
          </w:p>
        </w:tc>
        <w:tc>
          <w:tcPr>
            <w:tcW w:w="1406"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Ostvareno  u 2024. godini</w:t>
            </w:r>
          </w:p>
        </w:tc>
        <w:tc>
          <w:tcPr>
            <w:tcW w:w="856" w:type="dxa"/>
            <w:vMerge w:val="restart"/>
            <w:tcBorders>
              <w:top w:val="single" w:sz="8" w:space="0" w:color="auto"/>
              <w:left w:val="single" w:sz="8" w:space="0" w:color="auto"/>
              <w:bottom w:val="single" w:sz="8" w:space="0" w:color="000000"/>
              <w:right w:val="single" w:sz="8" w:space="0" w:color="auto"/>
            </w:tcBorders>
            <w:shd w:val="clear" w:color="000000" w:fill="8DB4E2"/>
            <w:noWrap/>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Indeks</w:t>
            </w:r>
          </w:p>
        </w:tc>
        <w:tc>
          <w:tcPr>
            <w:tcW w:w="1412" w:type="dxa"/>
            <w:vMerge w:val="restart"/>
            <w:tcBorders>
              <w:top w:val="single" w:sz="8" w:space="0" w:color="auto"/>
              <w:left w:val="single" w:sz="8" w:space="0" w:color="auto"/>
              <w:bottom w:val="single" w:sz="8" w:space="0" w:color="000000"/>
              <w:right w:val="single" w:sz="8" w:space="0" w:color="auto"/>
            </w:tcBorders>
            <w:shd w:val="clear" w:color="000000" w:fill="8DB4E2"/>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Struktura prihoda</w:t>
            </w:r>
          </w:p>
        </w:tc>
      </w:tr>
      <w:tr w:rsidR="005934B2" w:rsidRPr="002661D0" w:rsidTr="000366C5">
        <w:trPr>
          <w:trHeight w:val="315"/>
        </w:trPr>
        <w:tc>
          <w:tcPr>
            <w:tcW w:w="3843"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1287"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1406"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1412"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r>
      <w:tr w:rsidR="005934B2" w:rsidRPr="002661D0" w:rsidTr="000366C5">
        <w:trPr>
          <w:trHeight w:val="330"/>
        </w:trPr>
        <w:tc>
          <w:tcPr>
            <w:tcW w:w="3843"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1287"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1406"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856"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c>
          <w:tcPr>
            <w:tcW w:w="1412" w:type="dxa"/>
            <w:vMerge/>
            <w:tcBorders>
              <w:top w:val="single" w:sz="8" w:space="0" w:color="auto"/>
              <w:left w:val="single" w:sz="8" w:space="0" w:color="auto"/>
              <w:bottom w:val="single" w:sz="8" w:space="0" w:color="000000"/>
              <w:right w:val="single" w:sz="8" w:space="0" w:color="auto"/>
            </w:tcBorders>
            <w:vAlign w:val="center"/>
            <w:hideMark/>
          </w:tcPr>
          <w:p w:rsidR="005934B2" w:rsidRPr="002661D0" w:rsidRDefault="005934B2" w:rsidP="000366C5">
            <w:pPr>
              <w:jc w:val="left"/>
              <w:rPr>
                <w:rFonts w:ascii="Calibri" w:hAnsi="Calibri"/>
                <w:b/>
                <w:bCs/>
                <w:sz w:val="20"/>
                <w:szCs w:val="20"/>
              </w:rPr>
            </w:pP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1</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2</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3</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4=3/2</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center"/>
              <w:rPr>
                <w:rFonts w:ascii="Calibri" w:hAnsi="Calibri"/>
                <w:b/>
                <w:bCs/>
                <w:sz w:val="20"/>
                <w:szCs w:val="20"/>
              </w:rPr>
            </w:pPr>
            <w:r w:rsidRPr="002661D0">
              <w:rPr>
                <w:rFonts w:ascii="Calibri" w:hAnsi="Calibri"/>
                <w:b/>
                <w:bCs/>
                <w:sz w:val="20"/>
                <w:szCs w:val="20"/>
              </w:rPr>
              <w:t>5</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jc w:val="left"/>
              <w:rPr>
                <w:rFonts w:ascii="Calibri" w:hAnsi="Calibri"/>
                <w:b/>
                <w:bCs/>
                <w:sz w:val="20"/>
                <w:szCs w:val="20"/>
              </w:rPr>
            </w:pPr>
            <w:r w:rsidRPr="002661D0">
              <w:rPr>
                <w:rFonts w:ascii="Calibri" w:hAnsi="Calibri"/>
                <w:b/>
                <w:bCs/>
                <w:sz w:val="20"/>
                <w:szCs w:val="20"/>
              </w:rPr>
              <w:t>Prihodi od kamata</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630.000,00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421.522,90</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66,91</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25,24%</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rPr>
                <w:rFonts w:ascii="Calibri" w:hAnsi="Calibri"/>
                <w:sz w:val="20"/>
                <w:szCs w:val="20"/>
              </w:rPr>
            </w:pPr>
            <w:r w:rsidRPr="002661D0">
              <w:rPr>
                <w:rFonts w:ascii="Calibri" w:hAnsi="Calibri"/>
                <w:sz w:val="20"/>
                <w:szCs w:val="20"/>
              </w:rPr>
              <w:t>Prihod od zateznih kamata</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30.000,00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24.787,92</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82,63</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1,48%</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jc w:val="left"/>
              <w:rPr>
                <w:rFonts w:ascii="Calibri" w:hAnsi="Calibri"/>
                <w:color w:val="auto"/>
                <w:sz w:val="20"/>
                <w:szCs w:val="20"/>
              </w:rPr>
            </w:pPr>
            <w:r w:rsidRPr="002661D0">
              <w:rPr>
                <w:rFonts w:ascii="Calibri" w:hAnsi="Calibri"/>
                <w:color w:val="auto"/>
                <w:sz w:val="20"/>
                <w:szCs w:val="20"/>
              </w:rPr>
              <w:t>Prihodi od kamata po osnovu oročenih depozita</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1.872,78</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0,00</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0,11%</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jc w:val="left"/>
              <w:rPr>
                <w:rFonts w:ascii="Calibri" w:hAnsi="Calibri"/>
                <w:color w:val="auto"/>
                <w:sz w:val="20"/>
                <w:szCs w:val="20"/>
              </w:rPr>
            </w:pPr>
            <w:r w:rsidRPr="002661D0">
              <w:rPr>
                <w:rFonts w:ascii="Calibri" w:hAnsi="Calibri"/>
                <w:color w:val="auto"/>
                <w:sz w:val="20"/>
                <w:szCs w:val="20"/>
              </w:rPr>
              <w:t>Prihod od dužničkih HOV</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600.000,00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394.862,20</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65,81</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23,64%</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rPr>
                <w:rFonts w:ascii="Calibri" w:hAnsi="Calibri"/>
                <w:b/>
                <w:bCs/>
                <w:sz w:val="20"/>
                <w:szCs w:val="20"/>
              </w:rPr>
            </w:pPr>
            <w:r w:rsidRPr="002661D0">
              <w:rPr>
                <w:rFonts w:ascii="Calibri" w:hAnsi="Calibri"/>
                <w:b/>
                <w:bCs/>
                <w:sz w:val="20"/>
                <w:szCs w:val="20"/>
              </w:rPr>
              <w:t>Prihodi od premija i provizija</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1.280.000,00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603.340,21</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47,14</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36,12%</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rPr>
                <w:rFonts w:ascii="Calibri" w:hAnsi="Calibri"/>
                <w:sz w:val="20"/>
                <w:szCs w:val="20"/>
              </w:rPr>
            </w:pPr>
            <w:r w:rsidRPr="002661D0">
              <w:rPr>
                <w:rFonts w:ascii="Calibri" w:hAnsi="Calibri"/>
                <w:sz w:val="20"/>
                <w:szCs w:val="20"/>
              </w:rPr>
              <w:t>Prihodi od premija za redovne garancija</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545.000,00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300.990,33</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55,23</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18,02%</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jc w:val="left"/>
              <w:rPr>
                <w:rFonts w:ascii="Calibri" w:hAnsi="Calibri"/>
                <w:sz w:val="20"/>
                <w:szCs w:val="20"/>
              </w:rPr>
            </w:pPr>
            <w:r w:rsidRPr="002661D0">
              <w:rPr>
                <w:rFonts w:ascii="Calibri" w:hAnsi="Calibri"/>
                <w:sz w:val="20"/>
                <w:szCs w:val="20"/>
              </w:rPr>
              <w:t>Prihodi od premija za kreditni portfelj</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450.000,00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246.698,86</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54,82</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14,77%</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jc w:val="left"/>
              <w:rPr>
                <w:rFonts w:ascii="Calibri" w:hAnsi="Calibri"/>
                <w:sz w:val="20"/>
                <w:szCs w:val="20"/>
              </w:rPr>
            </w:pPr>
            <w:r w:rsidRPr="002661D0">
              <w:rPr>
                <w:rFonts w:ascii="Calibri" w:hAnsi="Calibri"/>
                <w:sz w:val="20"/>
                <w:szCs w:val="20"/>
              </w:rPr>
              <w:t>Prihodi od provizija za redovne garancije</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195.000,00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39.146,08</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20,07</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2,34%</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jc w:val="left"/>
              <w:rPr>
                <w:rFonts w:ascii="Calibri" w:hAnsi="Calibri"/>
                <w:sz w:val="20"/>
                <w:szCs w:val="20"/>
              </w:rPr>
            </w:pPr>
            <w:r w:rsidRPr="002661D0">
              <w:rPr>
                <w:rFonts w:ascii="Calibri" w:hAnsi="Calibri"/>
                <w:sz w:val="20"/>
                <w:szCs w:val="20"/>
              </w:rPr>
              <w:t>Prihodi od provizija za kreditni portfelj</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80.000,00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16.504,94</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20,63</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0,99%</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noWrap/>
            <w:vAlign w:val="center"/>
            <w:hideMark/>
          </w:tcPr>
          <w:p w:rsidR="005934B2" w:rsidRPr="002661D0" w:rsidRDefault="005934B2" w:rsidP="000366C5">
            <w:pPr>
              <w:rPr>
                <w:rFonts w:ascii="Calibri" w:hAnsi="Calibri"/>
                <w:sz w:val="20"/>
                <w:szCs w:val="20"/>
              </w:rPr>
            </w:pPr>
            <w:r w:rsidRPr="002661D0">
              <w:rPr>
                <w:rFonts w:ascii="Calibri" w:hAnsi="Calibri"/>
                <w:sz w:val="20"/>
                <w:szCs w:val="20"/>
              </w:rPr>
              <w:t>Prihodi od provizija za pisma namjere</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10.000,00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0,00</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0,00</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sz w:val="20"/>
                <w:szCs w:val="20"/>
              </w:rPr>
            </w:pPr>
            <w:r w:rsidRPr="002661D0">
              <w:rPr>
                <w:rFonts w:ascii="Calibri" w:hAnsi="Calibri"/>
                <w:sz w:val="20"/>
                <w:szCs w:val="20"/>
              </w:rPr>
              <w:t>0,00%</w:t>
            </w:r>
          </w:p>
        </w:tc>
      </w:tr>
      <w:tr w:rsidR="005934B2" w:rsidRPr="002661D0" w:rsidTr="000366C5">
        <w:trPr>
          <w:trHeight w:val="525"/>
        </w:trPr>
        <w:tc>
          <w:tcPr>
            <w:tcW w:w="3843" w:type="dxa"/>
            <w:tcBorders>
              <w:top w:val="nil"/>
              <w:left w:val="single" w:sz="8" w:space="0" w:color="auto"/>
              <w:bottom w:val="single" w:sz="8" w:space="0" w:color="auto"/>
              <w:right w:val="single" w:sz="8" w:space="0" w:color="auto"/>
            </w:tcBorders>
            <w:shd w:val="clear" w:color="auto" w:fill="auto"/>
            <w:vAlign w:val="center"/>
            <w:hideMark/>
          </w:tcPr>
          <w:p w:rsidR="005934B2" w:rsidRPr="002661D0" w:rsidRDefault="005934B2" w:rsidP="000366C5">
            <w:pPr>
              <w:jc w:val="left"/>
              <w:rPr>
                <w:rFonts w:ascii="Calibri" w:hAnsi="Calibri"/>
                <w:b/>
                <w:bCs/>
                <w:color w:val="auto"/>
                <w:sz w:val="20"/>
                <w:szCs w:val="20"/>
              </w:rPr>
            </w:pPr>
            <w:r w:rsidRPr="002661D0">
              <w:rPr>
                <w:rFonts w:ascii="Calibri" w:hAnsi="Calibri"/>
                <w:b/>
                <w:bCs/>
                <w:color w:val="auto"/>
                <w:sz w:val="20"/>
                <w:szCs w:val="20"/>
              </w:rPr>
              <w:t>Prihodi od ukidanja rezervisanja  po procjeni i vanbilansnoj aktivi</w:t>
            </w:r>
          </w:p>
        </w:tc>
        <w:tc>
          <w:tcPr>
            <w:tcW w:w="1287"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350.000,00</w:t>
            </w:r>
          </w:p>
        </w:tc>
        <w:tc>
          <w:tcPr>
            <w:tcW w:w="1406"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620.395,36</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177,26</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37,14%</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auto" w:fill="auto"/>
            <w:vAlign w:val="center"/>
            <w:hideMark/>
          </w:tcPr>
          <w:p w:rsidR="005934B2" w:rsidRPr="002661D0" w:rsidRDefault="005934B2" w:rsidP="000366C5">
            <w:pPr>
              <w:rPr>
                <w:rFonts w:ascii="Calibri" w:hAnsi="Calibri"/>
                <w:b/>
                <w:bCs/>
                <w:sz w:val="20"/>
                <w:szCs w:val="20"/>
              </w:rPr>
            </w:pPr>
            <w:r w:rsidRPr="002661D0">
              <w:rPr>
                <w:rFonts w:ascii="Calibri" w:hAnsi="Calibri"/>
                <w:b/>
                <w:bCs/>
                <w:sz w:val="20"/>
                <w:szCs w:val="20"/>
              </w:rPr>
              <w:t>Ostali prihodi</w:t>
            </w:r>
          </w:p>
        </w:tc>
        <w:tc>
          <w:tcPr>
            <w:tcW w:w="1287"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200.000,00</w:t>
            </w:r>
          </w:p>
        </w:tc>
        <w:tc>
          <w:tcPr>
            <w:tcW w:w="1406" w:type="dxa"/>
            <w:tcBorders>
              <w:top w:val="nil"/>
              <w:left w:val="nil"/>
              <w:bottom w:val="single" w:sz="8" w:space="0" w:color="auto"/>
              <w:right w:val="single" w:sz="8" w:space="0" w:color="auto"/>
            </w:tcBorders>
            <w:shd w:val="clear" w:color="auto" w:fill="auto"/>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25.113,32</w:t>
            </w:r>
          </w:p>
        </w:tc>
        <w:tc>
          <w:tcPr>
            <w:tcW w:w="856" w:type="dxa"/>
            <w:tcBorders>
              <w:top w:val="nil"/>
              <w:left w:val="nil"/>
              <w:bottom w:val="single" w:sz="8" w:space="0" w:color="auto"/>
              <w:right w:val="single" w:sz="8" w:space="0" w:color="auto"/>
            </w:tcBorders>
            <w:shd w:val="clear" w:color="auto" w:fill="auto"/>
            <w:noWrap/>
            <w:vAlign w:val="center"/>
            <w:hideMark/>
          </w:tcPr>
          <w:p w:rsidR="005934B2" w:rsidRPr="00DF0E2C" w:rsidRDefault="005934B2" w:rsidP="000366C5">
            <w:pPr>
              <w:jc w:val="right"/>
              <w:rPr>
                <w:rFonts w:ascii="Calibri" w:hAnsi="Calibri"/>
                <w:bCs/>
                <w:sz w:val="20"/>
                <w:szCs w:val="20"/>
              </w:rPr>
            </w:pPr>
            <w:r w:rsidRPr="00DF0E2C">
              <w:rPr>
                <w:rFonts w:ascii="Calibri" w:hAnsi="Calibri"/>
                <w:bCs/>
                <w:sz w:val="20"/>
                <w:szCs w:val="20"/>
              </w:rPr>
              <w:t>12,56</w:t>
            </w:r>
          </w:p>
        </w:tc>
        <w:tc>
          <w:tcPr>
            <w:tcW w:w="1412" w:type="dxa"/>
            <w:tcBorders>
              <w:top w:val="nil"/>
              <w:left w:val="nil"/>
              <w:bottom w:val="single" w:sz="8" w:space="0" w:color="auto"/>
              <w:right w:val="single" w:sz="8" w:space="0" w:color="auto"/>
            </w:tcBorders>
            <w:shd w:val="clear" w:color="auto" w:fill="auto"/>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1,50%</w:t>
            </w:r>
          </w:p>
        </w:tc>
      </w:tr>
      <w:tr w:rsidR="005934B2" w:rsidRPr="002661D0" w:rsidTr="000366C5">
        <w:trPr>
          <w:trHeight w:val="330"/>
        </w:trPr>
        <w:tc>
          <w:tcPr>
            <w:tcW w:w="3843" w:type="dxa"/>
            <w:tcBorders>
              <w:top w:val="nil"/>
              <w:left w:val="single" w:sz="8" w:space="0" w:color="auto"/>
              <w:bottom w:val="single" w:sz="8" w:space="0" w:color="auto"/>
              <w:right w:val="single" w:sz="8" w:space="0" w:color="auto"/>
            </w:tcBorders>
            <w:shd w:val="clear" w:color="000000" w:fill="8DB4E2"/>
            <w:noWrap/>
            <w:vAlign w:val="center"/>
            <w:hideMark/>
          </w:tcPr>
          <w:p w:rsidR="005934B2" w:rsidRPr="002661D0" w:rsidRDefault="005934B2" w:rsidP="000366C5">
            <w:pPr>
              <w:jc w:val="left"/>
              <w:rPr>
                <w:rFonts w:ascii="Calibri" w:hAnsi="Calibri"/>
                <w:b/>
                <w:bCs/>
                <w:sz w:val="20"/>
                <w:szCs w:val="20"/>
              </w:rPr>
            </w:pPr>
            <w:r w:rsidRPr="002661D0">
              <w:rPr>
                <w:rFonts w:ascii="Calibri" w:hAnsi="Calibri"/>
                <w:b/>
                <w:bCs/>
                <w:sz w:val="20"/>
                <w:szCs w:val="20"/>
              </w:rPr>
              <w:t>UKUPNO</w:t>
            </w:r>
          </w:p>
        </w:tc>
        <w:tc>
          <w:tcPr>
            <w:tcW w:w="1287" w:type="dxa"/>
            <w:tcBorders>
              <w:top w:val="nil"/>
              <w:left w:val="nil"/>
              <w:bottom w:val="single" w:sz="8" w:space="0" w:color="auto"/>
              <w:right w:val="single" w:sz="8" w:space="0" w:color="auto"/>
            </w:tcBorders>
            <w:shd w:val="clear" w:color="000000" w:fill="8DB4E2"/>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2.460.000,00</w:t>
            </w:r>
          </w:p>
        </w:tc>
        <w:tc>
          <w:tcPr>
            <w:tcW w:w="1406" w:type="dxa"/>
            <w:tcBorders>
              <w:top w:val="nil"/>
              <w:left w:val="nil"/>
              <w:bottom w:val="single" w:sz="8" w:space="0" w:color="auto"/>
              <w:right w:val="single" w:sz="8" w:space="0" w:color="auto"/>
            </w:tcBorders>
            <w:shd w:val="clear" w:color="000000" w:fill="8DB4E2"/>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1.670.371,79</w:t>
            </w:r>
          </w:p>
        </w:tc>
        <w:tc>
          <w:tcPr>
            <w:tcW w:w="856" w:type="dxa"/>
            <w:tcBorders>
              <w:top w:val="nil"/>
              <w:left w:val="nil"/>
              <w:bottom w:val="single" w:sz="8" w:space="0" w:color="auto"/>
              <w:right w:val="single" w:sz="8" w:space="0" w:color="auto"/>
            </w:tcBorders>
            <w:shd w:val="clear" w:color="000000" w:fill="8DB4E2"/>
            <w:noWrap/>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67,90</w:t>
            </w:r>
          </w:p>
        </w:tc>
        <w:tc>
          <w:tcPr>
            <w:tcW w:w="1412" w:type="dxa"/>
            <w:tcBorders>
              <w:top w:val="nil"/>
              <w:left w:val="nil"/>
              <w:bottom w:val="single" w:sz="8" w:space="0" w:color="auto"/>
              <w:right w:val="single" w:sz="8" w:space="0" w:color="auto"/>
            </w:tcBorders>
            <w:shd w:val="clear" w:color="000000" w:fill="8DB4E2"/>
            <w:vAlign w:val="center"/>
            <w:hideMark/>
          </w:tcPr>
          <w:p w:rsidR="005934B2" w:rsidRPr="002661D0" w:rsidRDefault="005934B2" w:rsidP="000366C5">
            <w:pPr>
              <w:jc w:val="right"/>
              <w:rPr>
                <w:rFonts w:ascii="Calibri" w:hAnsi="Calibri"/>
                <w:b/>
                <w:bCs/>
                <w:sz w:val="20"/>
                <w:szCs w:val="20"/>
              </w:rPr>
            </w:pPr>
            <w:r w:rsidRPr="002661D0">
              <w:rPr>
                <w:rFonts w:ascii="Calibri" w:hAnsi="Calibri"/>
                <w:b/>
                <w:bCs/>
                <w:sz w:val="20"/>
                <w:szCs w:val="20"/>
              </w:rPr>
              <w:t>100,00%</w:t>
            </w:r>
          </w:p>
        </w:tc>
      </w:tr>
    </w:tbl>
    <w:p w:rsidR="005934B2" w:rsidRPr="005767EF" w:rsidRDefault="005934B2" w:rsidP="00A401F8">
      <w:pPr>
        <w:rPr>
          <w:rFonts w:asciiTheme="minorHAnsi" w:hAnsiTheme="minorHAnsi"/>
          <w:sz w:val="20"/>
          <w:szCs w:val="20"/>
          <w:lang w:val="sr-Cyrl-CS" w:eastAsia="sr-Cyrl-CS"/>
        </w:rPr>
      </w:pPr>
    </w:p>
    <w:p w:rsidR="005934B2" w:rsidRPr="005767EF" w:rsidRDefault="005934B2" w:rsidP="00A401F8">
      <w:pPr>
        <w:rPr>
          <w:rFonts w:asciiTheme="minorHAnsi" w:hAnsiTheme="minorHAnsi"/>
          <w:sz w:val="20"/>
          <w:szCs w:val="20"/>
          <w:lang w:val="sr-Cyrl-BA" w:eastAsia="sr-Cyrl-CS"/>
        </w:rPr>
      </w:pPr>
      <w:r w:rsidRPr="005767EF">
        <w:rPr>
          <w:rFonts w:asciiTheme="minorHAnsi" w:hAnsiTheme="minorHAnsi"/>
          <w:sz w:val="20"/>
          <w:szCs w:val="20"/>
          <w:lang w:val="sr-Cyrl-BA" w:eastAsia="sr-Cyrl-CS"/>
        </w:rPr>
        <w:t xml:space="preserve">Garantni fond </w:t>
      </w:r>
      <w:r>
        <w:rPr>
          <w:rFonts w:asciiTheme="minorHAnsi" w:hAnsiTheme="minorHAnsi"/>
          <w:sz w:val="20"/>
          <w:szCs w:val="20"/>
          <w:lang w:val="sr-Cyrl-BA" w:eastAsia="sr-Cyrl-CS"/>
        </w:rPr>
        <w:t>je u</w:t>
      </w:r>
      <w:r w:rsidRPr="005767EF">
        <w:rPr>
          <w:rFonts w:asciiTheme="minorHAnsi" w:hAnsiTheme="minorHAnsi"/>
          <w:sz w:val="20"/>
          <w:szCs w:val="20"/>
          <w:lang w:val="sr-Cyrl-BA" w:eastAsia="sr-Cyrl-CS"/>
        </w:rPr>
        <w:t xml:space="preserve"> 202</w:t>
      </w:r>
      <w:r>
        <w:rPr>
          <w:rFonts w:asciiTheme="minorHAnsi" w:hAnsiTheme="minorHAnsi"/>
          <w:sz w:val="20"/>
          <w:szCs w:val="20"/>
          <w:lang w:val="sr-Cyrl-RS" w:eastAsia="sr-Cyrl-CS"/>
        </w:rPr>
        <w:t>4</w:t>
      </w:r>
      <w:r w:rsidRPr="005767EF">
        <w:rPr>
          <w:rFonts w:asciiTheme="minorHAnsi" w:hAnsiTheme="minorHAnsi"/>
          <w:sz w:val="20"/>
          <w:szCs w:val="20"/>
          <w:lang w:val="sr-Cyrl-BA" w:eastAsia="sr-Cyrl-CS"/>
        </w:rPr>
        <w:t>. godini ostvario ukupne prihode u iznosu od 1.</w:t>
      </w:r>
      <w:r>
        <w:rPr>
          <w:rFonts w:asciiTheme="minorHAnsi" w:hAnsiTheme="minorHAnsi"/>
          <w:sz w:val="20"/>
          <w:szCs w:val="20"/>
          <w:lang w:val="sr-Cyrl-RS" w:eastAsia="sr-Cyrl-CS"/>
        </w:rPr>
        <w:t>670.371,79</w:t>
      </w:r>
      <w:r w:rsidRPr="005767EF">
        <w:rPr>
          <w:rFonts w:asciiTheme="minorHAnsi" w:hAnsiTheme="minorHAnsi"/>
          <w:sz w:val="20"/>
          <w:szCs w:val="20"/>
          <w:lang w:val="sr-Cyrl-BA" w:eastAsia="sr-Cyrl-CS"/>
        </w:rPr>
        <w:t xml:space="preserve"> KM. Ukupne prihode čine</w:t>
      </w:r>
      <w:r>
        <w:rPr>
          <w:rFonts w:asciiTheme="minorHAnsi" w:hAnsiTheme="minorHAnsi"/>
          <w:sz w:val="20"/>
          <w:szCs w:val="20"/>
          <w:lang w:val="sr-Cyrl-BA" w:eastAsia="sr-Cyrl-CS"/>
        </w:rPr>
        <w:t>:</w:t>
      </w:r>
      <w:r w:rsidRPr="005767EF">
        <w:rPr>
          <w:rFonts w:asciiTheme="minorHAnsi" w:hAnsiTheme="minorHAnsi"/>
          <w:sz w:val="20"/>
          <w:szCs w:val="20"/>
          <w:lang w:val="sr-Cyrl-BA" w:eastAsia="sr-Cyrl-CS"/>
        </w:rPr>
        <w:t xml:space="preserve"> prihodi od kamata po različitim osnovama</w:t>
      </w:r>
      <w:r>
        <w:rPr>
          <w:rFonts w:asciiTheme="minorHAnsi" w:hAnsiTheme="minorHAnsi"/>
          <w:sz w:val="20"/>
          <w:szCs w:val="20"/>
          <w:lang w:val="sr-Cyrl-BA" w:eastAsia="sr-Cyrl-CS"/>
        </w:rPr>
        <w:t>,</w:t>
      </w:r>
      <w:r w:rsidRPr="005767EF">
        <w:rPr>
          <w:rFonts w:asciiTheme="minorHAnsi" w:hAnsiTheme="minorHAnsi"/>
          <w:sz w:val="20"/>
          <w:szCs w:val="20"/>
          <w:lang w:val="sr-Cyrl-BA" w:eastAsia="sr-Cyrl-CS"/>
        </w:rPr>
        <w:t xml:space="preserve"> prihodi od premija i</w:t>
      </w:r>
      <w:r>
        <w:rPr>
          <w:rFonts w:asciiTheme="minorHAnsi" w:hAnsiTheme="minorHAnsi"/>
          <w:sz w:val="20"/>
          <w:szCs w:val="20"/>
          <w:lang w:val="sr-Cyrl-BA" w:eastAsia="sr-Cyrl-CS"/>
        </w:rPr>
        <w:t xml:space="preserve"> provizija na izdate garancije</w:t>
      </w:r>
      <w:r w:rsidRPr="005767EF">
        <w:rPr>
          <w:rFonts w:asciiTheme="minorHAnsi" w:hAnsiTheme="minorHAnsi"/>
          <w:sz w:val="20"/>
          <w:szCs w:val="20"/>
          <w:lang w:val="sr-Cyrl-BA" w:eastAsia="sr-Cyrl-CS"/>
        </w:rPr>
        <w:t xml:space="preserve">, prihodi od ukidanja rezervisanja i ostali prihodi. </w:t>
      </w:r>
    </w:p>
    <w:p w:rsidR="005934B2" w:rsidRPr="005767EF" w:rsidRDefault="005934B2" w:rsidP="00A401F8">
      <w:pPr>
        <w:rPr>
          <w:rFonts w:asciiTheme="minorHAnsi" w:hAnsiTheme="minorHAnsi"/>
          <w:sz w:val="20"/>
          <w:szCs w:val="20"/>
          <w:lang w:val="sr-Cyrl-RS" w:eastAsia="sr-Cyrl-CS"/>
        </w:rPr>
      </w:pPr>
    </w:p>
    <w:p w:rsidR="005934B2" w:rsidRPr="005767EF" w:rsidRDefault="005934B2" w:rsidP="00A401F8">
      <w:pPr>
        <w:rPr>
          <w:rFonts w:asciiTheme="minorHAnsi" w:hAnsiTheme="minorHAnsi"/>
          <w:sz w:val="20"/>
          <w:szCs w:val="20"/>
          <w:lang w:val="sr-Cyrl-BA" w:eastAsia="sr-Cyrl-CS"/>
        </w:rPr>
      </w:pPr>
      <w:r w:rsidRPr="005767EF">
        <w:rPr>
          <w:rFonts w:asciiTheme="minorHAnsi" w:hAnsiTheme="minorHAnsi"/>
          <w:sz w:val="20"/>
          <w:szCs w:val="20"/>
          <w:lang w:val="sr-Cyrl-BA" w:eastAsia="sr-Cyrl-CS"/>
        </w:rPr>
        <w:t xml:space="preserve">Ako posmatramo strukturu, najveće učešće imaju </w:t>
      </w:r>
      <w:r>
        <w:rPr>
          <w:rFonts w:asciiTheme="minorHAnsi" w:hAnsiTheme="minorHAnsi"/>
          <w:sz w:val="20"/>
          <w:szCs w:val="20"/>
          <w:lang w:val="sr-Cyrl-BA" w:eastAsia="sr-Cyrl-CS"/>
        </w:rPr>
        <w:t>p</w:t>
      </w:r>
      <w:r w:rsidRPr="005767EF">
        <w:rPr>
          <w:rFonts w:asciiTheme="minorHAnsi" w:hAnsiTheme="minorHAnsi"/>
          <w:sz w:val="20"/>
          <w:szCs w:val="20"/>
          <w:lang w:val="sr-Cyrl-BA" w:eastAsia="sr-Cyrl-CS"/>
        </w:rPr>
        <w:t>rihodi od ukidanja</w:t>
      </w:r>
      <w:r w:rsidRPr="002661D0">
        <w:rPr>
          <w:rFonts w:asciiTheme="minorHAnsi" w:hAnsiTheme="minorHAnsi"/>
          <w:sz w:val="20"/>
          <w:szCs w:val="20"/>
          <w:lang w:val="sr-Cyrl-BA" w:eastAsia="sr-Cyrl-CS"/>
        </w:rPr>
        <w:t xml:space="preserve"> </w:t>
      </w:r>
      <w:r w:rsidRPr="005767EF">
        <w:rPr>
          <w:rFonts w:asciiTheme="minorHAnsi" w:hAnsiTheme="minorHAnsi"/>
          <w:sz w:val="20"/>
          <w:szCs w:val="20"/>
          <w:lang w:val="sr-Cyrl-BA" w:eastAsia="sr-Cyrl-CS"/>
        </w:rPr>
        <w:t>rezervisanja</w:t>
      </w:r>
      <w:r>
        <w:rPr>
          <w:rFonts w:asciiTheme="minorHAnsi" w:hAnsiTheme="minorHAnsi"/>
          <w:sz w:val="20"/>
          <w:szCs w:val="20"/>
          <w:lang w:val="sr-Cyrl-BA" w:eastAsia="sr-Cyrl-CS"/>
        </w:rPr>
        <w:t xml:space="preserve"> koji čine</w:t>
      </w:r>
      <w:r w:rsidRPr="005767EF">
        <w:rPr>
          <w:rFonts w:asciiTheme="minorHAnsi" w:hAnsiTheme="minorHAnsi"/>
          <w:sz w:val="20"/>
          <w:szCs w:val="20"/>
          <w:lang w:val="sr-Cyrl-BA" w:eastAsia="sr-Cyrl-CS"/>
        </w:rPr>
        <w:t xml:space="preserve"> </w:t>
      </w:r>
      <w:r>
        <w:rPr>
          <w:rFonts w:asciiTheme="minorHAnsi" w:hAnsiTheme="minorHAnsi"/>
          <w:sz w:val="20"/>
          <w:szCs w:val="20"/>
          <w:lang w:val="sr-Cyrl-BA" w:eastAsia="sr-Cyrl-CS"/>
        </w:rPr>
        <w:t>37,14</w:t>
      </w:r>
      <w:r w:rsidRPr="005767EF">
        <w:rPr>
          <w:rFonts w:asciiTheme="minorHAnsi" w:hAnsiTheme="minorHAnsi"/>
          <w:sz w:val="20"/>
          <w:szCs w:val="20"/>
          <w:lang w:val="sr-Cyrl-BA" w:eastAsia="sr-Cyrl-CS"/>
        </w:rPr>
        <w:t xml:space="preserve">% ukupnih prihoda. </w:t>
      </w:r>
      <w:r>
        <w:rPr>
          <w:rFonts w:asciiTheme="minorHAnsi" w:hAnsiTheme="minorHAnsi"/>
          <w:sz w:val="20"/>
          <w:szCs w:val="20"/>
          <w:lang w:val="sr-Cyrl-BA" w:eastAsia="sr-Cyrl-CS"/>
        </w:rPr>
        <w:t>P</w:t>
      </w:r>
      <w:r w:rsidRPr="005767EF">
        <w:rPr>
          <w:rFonts w:asciiTheme="minorHAnsi" w:hAnsiTheme="minorHAnsi"/>
          <w:sz w:val="20"/>
          <w:szCs w:val="20"/>
          <w:lang w:val="sr-Cyrl-BA" w:eastAsia="sr-Cyrl-CS"/>
        </w:rPr>
        <w:t>rihodi od premija i provizija za izdane garancije</w:t>
      </w:r>
      <w:r>
        <w:rPr>
          <w:rFonts w:asciiTheme="minorHAnsi" w:hAnsiTheme="minorHAnsi"/>
          <w:sz w:val="20"/>
          <w:szCs w:val="20"/>
          <w:lang w:val="sr-Cyrl-BA" w:eastAsia="sr-Cyrl-CS"/>
        </w:rPr>
        <w:t xml:space="preserve"> su na drugom mjestu </w:t>
      </w:r>
      <w:r w:rsidRPr="005767EF">
        <w:rPr>
          <w:rFonts w:asciiTheme="minorHAnsi" w:hAnsiTheme="minorHAnsi"/>
          <w:sz w:val="20"/>
          <w:szCs w:val="20"/>
          <w:lang w:val="sr-Cyrl-BA" w:eastAsia="sr-Cyrl-CS"/>
        </w:rPr>
        <w:t xml:space="preserve">sa učešćem od </w:t>
      </w:r>
      <w:r>
        <w:rPr>
          <w:rFonts w:asciiTheme="minorHAnsi" w:hAnsiTheme="minorHAnsi"/>
          <w:sz w:val="20"/>
          <w:szCs w:val="20"/>
          <w:lang w:val="sr-Cyrl-BA" w:eastAsia="sr-Cyrl-CS"/>
        </w:rPr>
        <w:t>36,12%.</w:t>
      </w:r>
      <w:r w:rsidRPr="005767EF">
        <w:rPr>
          <w:rFonts w:asciiTheme="minorHAnsi" w:hAnsiTheme="minorHAnsi"/>
          <w:sz w:val="20"/>
          <w:szCs w:val="20"/>
          <w:lang w:val="sr-Cyrl-BA" w:eastAsia="sr-Cyrl-CS"/>
        </w:rPr>
        <w:t xml:space="preserve"> </w:t>
      </w:r>
      <w:r>
        <w:rPr>
          <w:rFonts w:asciiTheme="minorHAnsi" w:hAnsiTheme="minorHAnsi"/>
          <w:sz w:val="20"/>
          <w:szCs w:val="20"/>
          <w:lang w:val="sr-Cyrl-BA" w:eastAsia="sr-Cyrl-CS"/>
        </w:rPr>
        <w:t xml:space="preserve">Prihodi od kamata se nalaze na trećem mjestu sa učešćem od 25,24%. U okviru ove grupe, </w:t>
      </w:r>
      <w:r w:rsidRPr="005767EF">
        <w:rPr>
          <w:rFonts w:asciiTheme="minorHAnsi" w:hAnsiTheme="minorHAnsi"/>
          <w:sz w:val="20"/>
          <w:szCs w:val="20"/>
          <w:lang w:val="sr-Cyrl-BA" w:eastAsia="sr-Cyrl-CS"/>
        </w:rPr>
        <w:t xml:space="preserve">dominantno je učešće prihoda </w:t>
      </w:r>
      <w:r>
        <w:rPr>
          <w:rFonts w:asciiTheme="minorHAnsi" w:hAnsiTheme="minorHAnsi"/>
          <w:sz w:val="20"/>
          <w:szCs w:val="20"/>
          <w:lang w:val="sr-Cyrl-BA" w:eastAsia="sr-Cyrl-CS"/>
        </w:rPr>
        <w:t xml:space="preserve">po </w:t>
      </w:r>
      <w:r w:rsidRPr="005767EF">
        <w:rPr>
          <w:rFonts w:asciiTheme="minorHAnsi" w:hAnsiTheme="minorHAnsi"/>
          <w:sz w:val="20"/>
          <w:szCs w:val="20"/>
          <w:lang w:val="sr-Cyrl-BA" w:eastAsia="sr-Cyrl-CS"/>
        </w:rPr>
        <w:t>osnovu ulaganja u</w:t>
      </w:r>
      <w:r>
        <w:rPr>
          <w:rFonts w:asciiTheme="minorHAnsi" w:hAnsiTheme="minorHAnsi"/>
          <w:sz w:val="20"/>
          <w:szCs w:val="20"/>
          <w:lang w:val="sr-Cyrl-BA" w:eastAsia="sr-Cyrl-CS"/>
        </w:rPr>
        <w:t xml:space="preserve"> dužničke</w:t>
      </w:r>
      <w:r w:rsidRPr="005767EF">
        <w:rPr>
          <w:rFonts w:asciiTheme="minorHAnsi" w:hAnsiTheme="minorHAnsi"/>
          <w:sz w:val="20"/>
          <w:szCs w:val="20"/>
          <w:lang w:val="sr-Cyrl-BA" w:eastAsia="sr-Cyrl-CS"/>
        </w:rPr>
        <w:t xml:space="preserve"> hartije od vrijednosti</w:t>
      </w:r>
      <w:r>
        <w:rPr>
          <w:rFonts w:asciiTheme="minorHAnsi" w:hAnsiTheme="minorHAnsi"/>
          <w:sz w:val="20"/>
          <w:szCs w:val="20"/>
          <w:lang w:val="sr-Cyrl-BA" w:eastAsia="sr-Cyrl-CS"/>
        </w:rPr>
        <w:t xml:space="preserve"> (23,64%). Najmanje učešće ima grupa </w:t>
      </w:r>
      <w:r w:rsidRPr="005767EF">
        <w:rPr>
          <w:rFonts w:asciiTheme="minorHAnsi" w:hAnsiTheme="minorHAnsi"/>
          <w:sz w:val="20"/>
          <w:szCs w:val="20"/>
          <w:lang w:val="sr-Cyrl-BA" w:eastAsia="sr-Cyrl-CS"/>
        </w:rPr>
        <w:t>ostalih prihoda</w:t>
      </w:r>
      <w:r>
        <w:rPr>
          <w:rFonts w:asciiTheme="minorHAnsi" w:hAnsiTheme="minorHAnsi"/>
          <w:sz w:val="20"/>
          <w:szCs w:val="20"/>
          <w:lang w:val="sr-Cyrl-BA" w:eastAsia="sr-Cyrl-CS"/>
        </w:rPr>
        <w:t xml:space="preserve"> koji čine svega 1,50</w:t>
      </w:r>
      <w:r w:rsidRPr="005767EF">
        <w:rPr>
          <w:rFonts w:asciiTheme="minorHAnsi" w:hAnsiTheme="minorHAnsi"/>
          <w:sz w:val="20"/>
          <w:szCs w:val="20"/>
          <w:lang w:val="sr-Cyrl-BA" w:eastAsia="sr-Cyrl-CS"/>
        </w:rPr>
        <w:t>%</w:t>
      </w:r>
      <w:r>
        <w:rPr>
          <w:rFonts w:asciiTheme="minorHAnsi" w:hAnsiTheme="minorHAnsi"/>
          <w:sz w:val="20"/>
          <w:szCs w:val="20"/>
          <w:lang w:val="sr-Cyrl-BA" w:eastAsia="sr-Cyrl-CS"/>
        </w:rPr>
        <w:t xml:space="preserve"> ukupno ostvarenih prihoda u 2024. godini</w:t>
      </w:r>
      <w:r w:rsidRPr="005767EF">
        <w:rPr>
          <w:rFonts w:asciiTheme="minorHAnsi" w:hAnsiTheme="minorHAnsi"/>
          <w:sz w:val="20"/>
          <w:szCs w:val="20"/>
          <w:lang w:val="sr-Cyrl-BA" w:eastAsia="sr-Cyrl-CS"/>
        </w:rPr>
        <w:t xml:space="preserve">. </w:t>
      </w:r>
    </w:p>
    <w:p w:rsidR="005934B2" w:rsidRDefault="005934B2" w:rsidP="00A401F8">
      <w:pPr>
        <w:rPr>
          <w:rFonts w:asciiTheme="minorHAnsi" w:hAnsiTheme="minorHAnsi"/>
          <w:sz w:val="20"/>
          <w:szCs w:val="20"/>
          <w:lang w:val="sr-Cyrl-BA" w:eastAsia="sr-Cyrl-CS"/>
        </w:rPr>
      </w:pPr>
    </w:p>
    <w:p w:rsidR="005934B2" w:rsidRDefault="005934B2" w:rsidP="00A401F8">
      <w:pPr>
        <w:rPr>
          <w:rFonts w:asciiTheme="minorHAnsi" w:hAnsiTheme="minorHAnsi"/>
          <w:sz w:val="20"/>
          <w:szCs w:val="20"/>
          <w:lang w:val="sr-Cyrl-BA" w:eastAsia="sr-Cyrl-CS"/>
        </w:rPr>
      </w:pPr>
      <w:r>
        <w:rPr>
          <w:rFonts w:asciiTheme="minorHAnsi" w:hAnsiTheme="minorHAnsi"/>
          <w:b/>
          <w:sz w:val="20"/>
          <w:szCs w:val="20"/>
          <w:lang w:val="sr-Cyrl-BA" w:eastAsia="sr-Cyrl-CS"/>
        </w:rPr>
        <w:t>Priho</w:t>
      </w:r>
      <w:r w:rsidRPr="00BD3482">
        <w:rPr>
          <w:rFonts w:asciiTheme="minorHAnsi" w:hAnsiTheme="minorHAnsi"/>
          <w:b/>
          <w:sz w:val="20"/>
          <w:szCs w:val="20"/>
          <w:lang w:val="sr-Cyrl-BA" w:eastAsia="sr-Cyrl-CS"/>
        </w:rPr>
        <w:t xml:space="preserve">di od kamata </w:t>
      </w:r>
      <w:r>
        <w:rPr>
          <w:rFonts w:asciiTheme="minorHAnsi" w:hAnsiTheme="minorHAnsi"/>
          <w:sz w:val="20"/>
          <w:szCs w:val="20"/>
          <w:lang w:val="sr-Cyrl-BA" w:eastAsia="sr-Cyrl-CS"/>
        </w:rPr>
        <w:t>su tokom 2024. godine ostvareni</w:t>
      </w:r>
      <w:r w:rsidRPr="00BD3482">
        <w:rPr>
          <w:rFonts w:asciiTheme="minorHAnsi" w:hAnsiTheme="minorHAnsi"/>
          <w:sz w:val="20"/>
          <w:szCs w:val="20"/>
          <w:lang w:val="sr-Cyrl-BA" w:eastAsia="sr-Cyrl-CS"/>
        </w:rPr>
        <w:t xml:space="preserve"> u ukupnom iznosu od</w:t>
      </w:r>
      <w:r>
        <w:rPr>
          <w:rFonts w:asciiTheme="minorHAnsi" w:hAnsiTheme="minorHAnsi"/>
          <w:sz w:val="20"/>
          <w:szCs w:val="20"/>
          <w:lang w:val="sr-Cyrl-BA" w:eastAsia="sr-Cyrl-CS"/>
        </w:rPr>
        <w:t xml:space="preserve"> </w:t>
      </w:r>
      <w:r w:rsidRPr="002661D0">
        <w:rPr>
          <w:rFonts w:asciiTheme="minorHAnsi" w:hAnsiTheme="minorHAnsi"/>
          <w:sz w:val="20"/>
          <w:szCs w:val="20"/>
          <w:lang w:val="sr-Cyrl-BA" w:eastAsia="sr-Cyrl-CS"/>
        </w:rPr>
        <w:t>421.522,90</w:t>
      </w:r>
      <w:r>
        <w:rPr>
          <w:rFonts w:asciiTheme="minorHAnsi" w:hAnsiTheme="minorHAnsi"/>
          <w:sz w:val="20"/>
          <w:szCs w:val="20"/>
          <w:lang w:val="sr-Cyrl-BA" w:eastAsia="sr-Cyrl-CS"/>
        </w:rPr>
        <w:t xml:space="preserve"> KM. Više od 90% vrijednosti u okviru ove grupe prihoda se odnosi na prihode ostvarene po osnovu ulaganja u dužničke hartije od vrijednosti koji iznose </w:t>
      </w:r>
      <w:r w:rsidRPr="002661D0">
        <w:rPr>
          <w:rFonts w:asciiTheme="minorHAnsi" w:hAnsiTheme="minorHAnsi"/>
          <w:sz w:val="20"/>
          <w:szCs w:val="20"/>
          <w:lang w:val="sr-Cyrl-BA" w:eastAsia="sr-Cyrl-CS"/>
        </w:rPr>
        <w:t>394.862,20</w:t>
      </w:r>
      <w:r>
        <w:rPr>
          <w:rFonts w:asciiTheme="minorHAnsi" w:hAnsiTheme="minorHAnsi"/>
          <w:sz w:val="20"/>
          <w:szCs w:val="20"/>
          <w:lang w:val="sr-Cyrl-BA" w:eastAsia="sr-Cyrl-CS"/>
        </w:rPr>
        <w:t xml:space="preserve"> KM, dok se preostali iznos odnosi na prihode od zateznih kamata i prihode po osnovu oročenih depozita.</w:t>
      </w:r>
    </w:p>
    <w:p w:rsidR="005934B2" w:rsidRPr="00BD3482" w:rsidRDefault="005934B2" w:rsidP="00A401F8">
      <w:pPr>
        <w:rPr>
          <w:rFonts w:asciiTheme="minorHAnsi" w:hAnsiTheme="minorHAnsi"/>
          <w:b/>
          <w:sz w:val="20"/>
          <w:szCs w:val="20"/>
          <w:lang w:val="sr-Cyrl-BA" w:eastAsia="sr-Cyrl-CS"/>
        </w:rPr>
      </w:pPr>
    </w:p>
    <w:p w:rsidR="005934B2" w:rsidRDefault="005934B2" w:rsidP="00A401F8">
      <w:pPr>
        <w:rPr>
          <w:rFonts w:asciiTheme="minorHAnsi" w:hAnsiTheme="minorHAnsi"/>
          <w:sz w:val="20"/>
          <w:szCs w:val="20"/>
          <w:lang w:val="sr-Cyrl-BA" w:eastAsia="sr-Cyrl-CS"/>
        </w:rPr>
      </w:pPr>
      <w:r w:rsidRPr="007377DB">
        <w:rPr>
          <w:rFonts w:asciiTheme="minorHAnsi" w:hAnsiTheme="minorHAnsi"/>
          <w:b/>
          <w:sz w:val="20"/>
          <w:szCs w:val="20"/>
          <w:lang w:val="sr-Cyrl-BA" w:eastAsia="sr-Cyrl-CS"/>
        </w:rPr>
        <w:t>Prihodi od premija i provizija</w:t>
      </w:r>
      <w:r w:rsidRPr="005767EF">
        <w:rPr>
          <w:rFonts w:asciiTheme="minorHAnsi" w:hAnsiTheme="minorHAnsi"/>
          <w:sz w:val="20"/>
          <w:szCs w:val="20"/>
          <w:lang w:val="sr-Cyrl-BA" w:eastAsia="sr-Cyrl-CS"/>
        </w:rPr>
        <w:t xml:space="preserve"> obuhvataj</w:t>
      </w:r>
      <w:r>
        <w:rPr>
          <w:rFonts w:asciiTheme="minorHAnsi" w:hAnsiTheme="minorHAnsi"/>
          <w:sz w:val="20"/>
          <w:szCs w:val="20"/>
          <w:lang w:val="sr-Cyrl-BA" w:eastAsia="sr-Cyrl-CS"/>
        </w:rPr>
        <w:t>u prihode od premije i provizije</w:t>
      </w:r>
      <w:r w:rsidRPr="005767EF">
        <w:rPr>
          <w:rFonts w:asciiTheme="minorHAnsi" w:hAnsiTheme="minorHAnsi"/>
          <w:sz w:val="20"/>
          <w:szCs w:val="20"/>
          <w:lang w:val="sr-Cyrl-BA" w:eastAsia="sr-Cyrl-CS"/>
        </w:rPr>
        <w:t xml:space="preserve"> od pojedinačnih garancija, te prihode od premija i provizija </w:t>
      </w:r>
      <w:r>
        <w:rPr>
          <w:rFonts w:asciiTheme="minorHAnsi" w:hAnsiTheme="minorHAnsi"/>
          <w:sz w:val="20"/>
          <w:szCs w:val="20"/>
          <w:lang w:val="sr-Cyrl-BA" w:eastAsia="sr-Cyrl-CS"/>
        </w:rPr>
        <w:t>od</w:t>
      </w:r>
      <w:r w:rsidRPr="005767EF">
        <w:rPr>
          <w:rFonts w:asciiTheme="minorHAnsi" w:hAnsiTheme="minorHAnsi"/>
          <w:sz w:val="20"/>
          <w:szCs w:val="20"/>
          <w:lang w:val="sr-Cyrl-BA" w:eastAsia="sr-Cyrl-CS"/>
        </w:rPr>
        <w:t xml:space="preserve"> garancija izdanih na nivou kreditnog portfelja</w:t>
      </w:r>
      <w:r>
        <w:rPr>
          <w:rFonts w:asciiTheme="minorHAnsi" w:hAnsiTheme="minorHAnsi"/>
          <w:sz w:val="20"/>
          <w:szCs w:val="20"/>
          <w:lang w:val="sr-Cyrl-BA" w:eastAsia="sr-Cyrl-CS"/>
        </w:rPr>
        <w:t xml:space="preserve">. Tokom 2024. godine ovi prihodi su ostvareni u iznosu od </w:t>
      </w:r>
      <w:r w:rsidRPr="00A73D0A">
        <w:rPr>
          <w:rFonts w:asciiTheme="minorHAnsi" w:hAnsiTheme="minorHAnsi"/>
          <w:sz w:val="20"/>
          <w:szCs w:val="20"/>
          <w:lang w:val="sr-Cyrl-BA" w:eastAsia="sr-Cyrl-CS"/>
        </w:rPr>
        <w:t>603.340,21</w:t>
      </w:r>
      <w:r>
        <w:rPr>
          <w:rFonts w:asciiTheme="minorHAnsi" w:hAnsiTheme="minorHAnsi"/>
          <w:sz w:val="20"/>
          <w:szCs w:val="20"/>
          <w:lang w:val="sr-Cyrl-BA" w:eastAsia="sr-Cyrl-CS"/>
        </w:rPr>
        <w:t xml:space="preserve"> </w:t>
      </w:r>
      <w:r w:rsidRPr="00C76A89">
        <w:rPr>
          <w:rFonts w:asciiTheme="minorHAnsi" w:hAnsiTheme="minorHAnsi"/>
          <w:sz w:val="20"/>
          <w:szCs w:val="20"/>
          <w:lang w:val="sr-Cyrl-BA" w:eastAsia="sr-Cyrl-CS"/>
        </w:rPr>
        <w:t>KM</w:t>
      </w:r>
      <w:r>
        <w:rPr>
          <w:rFonts w:asciiTheme="minorHAnsi" w:hAnsiTheme="minorHAnsi"/>
          <w:sz w:val="20"/>
          <w:szCs w:val="20"/>
          <w:lang w:val="sr-Cyrl-BA" w:eastAsia="sr-Cyrl-CS"/>
        </w:rPr>
        <w:t xml:space="preserve">, što je nešto više od trećine ukupnih prihoda u posmatranoj godini. </w:t>
      </w:r>
    </w:p>
    <w:p w:rsidR="005934B2" w:rsidRPr="005767EF" w:rsidRDefault="005934B2" w:rsidP="00A401F8">
      <w:pPr>
        <w:rPr>
          <w:rFonts w:asciiTheme="minorHAnsi" w:hAnsiTheme="minorHAnsi"/>
          <w:sz w:val="20"/>
          <w:szCs w:val="20"/>
          <w:lang w:val="sr-Cyrl-BA" w:eastAsia="sr-Cyrl-CS"/>
        </w:rPr>
      </w:pPr>
      <w:r>
        <w:rPr>
          <w:rFonts w:asciiTheme="minorHAnsi" w:hAnsiTheme="minorHAnsi"/>
          <w:sz w:val="20"/>
          <w:szCs w:val="20"/>
          <w:lang w:val="sr-Cyrl-BA" w:eastAsia="sr-Cyrl-CS"/>
        </w:rPr>
        <w:t>Većinski dio ove grupe prihoda se odnosi na prihode od premije po osnovu pojedinačnih i portfolio garancija. Premija za redovne garancije je ostvarena u iznosu od 300.990,33 KM, dok je premija od izdavanja portfolio garancija ostvarena u iznosu od 246.698,86 KM.</w:t>
      </w:r>
    </w:p>
    <w:p w:rsidR="005934B2" w:rsidRPr="005767EF" w:rsidRDefault="005934B2" w:rsidP="00A401F8">
      <w:pPr>
        <w:rPr>
          <w:rFonts w:asciiTheme="minorHAnsi" w:hAnsiTheme="minorHAnsi"/>
          <w:sz w:val="20"/>
          <w:szCs w:val="20"/>
          <w:lang w:val="sr-Cyrl-BA" w:eastAsia="sr-Cyrl-CS"/>
        </w:rPr>
      </w:pPr>
    </w:p>
    <w:p w:rsidR="005934B2" w:rsidRDefault="005934B2" w:rsidP="00A401F8">
      <w:pPr>
        <w:rPr>
          <w:rFonts w:asciiTheme="minorHAnsi" w:hAnsiTheme="minorHAnsi"/>
          <w:sz w:val="20"/>
          <w:szCs w:val="20"/>
          <w:lang w:val="sr-Cyrl-BA" w:eastAsia="sr-Cyrl-CS"/>
        </w:rPr>
      </w:pPr>
      <w:r w:rsidRPr="007377DB">
        <w:rPr>
          <w:rFonts w:asciiTheme="minorHAnsi" w:hAnsiTheme="minorHAnsi"/>
          <w:b/>
          <w:sz w:val="20"/>
          <w:szCs w:val="20"/>
          <w:lang w:val="sr-Cyrl-BA" w:eastAsia="sr-Cyrl-CS"/>
        </w:rPr>
        <w:t>Prihode od ukidanja rezervisanja</w:t>
      </w:r>
      <w:r>
        <w:rPr>
          <w:rFonts w:asciiTheme="minorHAnsi" w:hAnsiTheme="minorHAnsi"/>
          <w:b/>
          <w:sz w:val="20"/>
          <w:szCs w:val="20"/>
          <w:lang w:val="sr-Cyrl-BA" w:eastAsia="sr-Cyrl-CS"/>
        </w:rPr>
        <w:t xml:space="preserve"> po procjeni i vanbilansnoj aktivi</w:t>
      </w:r>
      <w:r>
        <w:rPr>
          <w:rFonts w:asciiTheme="minorHAnsi" w:hAnsiTheme="minorHAnsi"/>
          <w:sz w:val="20"/>
          <w:szCs w:val="20"/>
          <w:lang w:val="sr-Cyrl-BA" w:eastAsia="sr-Cyrl-CS"/>
        </w:rPr>
        <w:t xml:space="preserve"> čine </w:t>
      </w:r>
      <w:r w:rsidRPr="005D2D24">
        <w:rPr>
          <w:rFonts w:asciiTheme="minorHAnsi" w:hAnsiTheme="minorHAnsi"/>
          <w:sz w:val="20"/>
          <w:szCs w:val="20"/>
          <w:lang w:val="sr-Cyrl-BA" w:eastAsia="sr-Cyrl-CS"/>
        </w:rPr>
        <w:t xml:space="preserve">prihodi od ukidanja rezervisanja za vanbilansne evidencije u ukupnom iznosu od </w:t>
      </w:r>
      <w:r>
        <w:rPr>
          <w:rFonts w:asciiTheme="minorHAnsi" w:hAnsiTheme="minorHAnsi"/>
          <w:sz w:val="20"/>
          <w:szCs w:val="20"/>
          <w:lang w:val="sr-Cyrl-BA" w:eastAsia="sr-Cyrl-CS"/>
        </w:rPr>
        <w:t xml:space="preserve">572.086,49 KM, od čega je od ukidanja rezervisanja na </w:t>
      </w:r>
      <w:r w:rsidRPr="005D2D24">
        <w:rPr>
          <w:rFonts w:asciiTheme="minorHAnsi" w:hAnsiTheme="minorHAnsi"/>
          <w:sz w:val="20"/>
          <w:szCs w:val="20"/>
          <w:lang w:val="sr-Cyrl-BA" w:eastAsia="sr-Cyrl-CS"/>
        </w:rPr>
        <w:t>redovne garancije</w:t>
      </w:r>
      <w:r w:rsidRPr="005D2D24">
        <w:rPr>
          <w:rFonts w:ascii="Arial" w:hAnsi="Arial" w:cs="Arial"/>
          <w:sz w:val="20"/>
          <w:szCs w:val="20"/>
          <w:lang w:val="sr-Cyrl-BA" w:eastAsia="sr-Cyrl-CS"/>
        </w:rPr>
        <w:t>‬</w:t>
      </w:r>
      <w:r w:rsidRPr="005D2D24">
        <w:rPr>
          <w:rFonts w:asciiTheme="minorHAnsi" w:hAnsiTheme="minorHAnsi"/>
          <w:sz w:val="20"/>
          <w:szCs w:val="20"/>
          <w:lang w:val="sr-Cyrl-BA" w:eastAsia="sr-Cyrl-CS"/>
        </w:rPr>
        <w:t xml:space="preserve"> </w:t>
      </w:r>
      <w:r>
        <w:rPr>
          <w:rFonts w:ascii="Calibri" w:hAnsi="Calibri" w:cs="Calibri"/>
          <w:sz w:val="20"/>
          <w:szCs w:val="20"/>
          <w:lang w:val="sr-Cyrl-BA" w:eastAsia="sr-Cyrl-CS"/>
        </w:rPr>
        <w:t>ostvaren</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prihod</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u</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iznosu</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od</w:t>
      </w:r>
      <w:r w:rsidRPr="005D2D24">
        <w:rPr>
          <w:rFonts w:asciiTheme="minorHAnsi" w:hAnsiTheme="minorHAnsi"/>
          <w:sz w:val="20"/>
          <w:szCs w:val="20"/>
          <w:lang w:val="sr-Cyrl-BA" w:eastAsia="sr-Cyrl-CS"/>
        </w:rPr>
        <w:t xml:space="preserve"> </w:t>
      </w:r>
      <w:r>
        <w:rPr>
          <w:rFonts w:asciiTheme="minorHAnsi" w:hAnsiTheme="minorHAnsi"/>
          <w:sz w:val="20"/>
          <w:szCs w:val="20"/>
          <w:lang w:val="sr-Cyrl-BA" w:eastAsia="sr-Cyrl-CS"/>
        </w:rPr>
        <w:t>473.180,75</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KM</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dok</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se</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na</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garancije</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iz</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kreditnog</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portfelja</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odnosi</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prihod</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u</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iznosu</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od</w:t>
      </w:r>
      <w:r w:rsidRPr="005D2D24">
        <w:rPr>
          <w:rFonts w:asciiTheme="minorHAnsi" w:hAnsiTheme="minorHAnsi"/>
          <w:sz w:val="20"/>
          <w:szCs w:val="20"/>
          <w:lang w:val="sr-Cyrl-BA" w:eastAsia="sr-Cyrl-CS"/>
        </w:rPr>
        <w:t xml:space="preserve"> </w:t>
      </w:r>
      <w:r>
        <w:rPr>
          <w:rFonts w:asciiTheme="minorHAnsi" w:hAnsiTheme="minorHAnsi"/>
          <w:sz w:val="20"/>
          <w:szCs w:val="20"/>
          <w:lang w:val="sr-Cyrl-BA" w:eastAsia="sr-Cyrl-CS"/>
        </w:rPr>
        <w:t>98.905,74</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KM</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Ova</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ukidanja</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rezervisanja</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rezultat</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su</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primjene</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MSFI</w:t>
      </w:r>
      <w:r w:rsidRPr="005D2D24">
        <w:rPr>
          <w:rFonts w:asciiTheme="minorHAnsi" w:hAnsiTheme="minorHAnsi"/>
          <w:sz w:val="20"/>
          <w:szCs w:val="20"/>
          <w:lang w:val="sr-Cyrl-BA" w:eastAsia="sr-Cyrl-CS"/>
        </w:rPr>
        <w:t xml:space="preserve"> 9 </w:t>
      </w:r>
      <w:r w:rsidRPr="005D2D24">
        <w:rPr>
          <w:rFonts w:ascii="Calibri" w:hAnsi="Calibri" w:cs="Calibri"/>
          <w:sz w:val="20"/>
          <w:szCs w:val="20"/>
          <w:lang w:val="sr-Cyrl-BA" w:eastAsia="sr-Cyrl-CS"/>
        </w:rPr>
        <w:t>za</w:t>
      </w:r>
      <w:r w:rsidRPr="005D2D24">
        <w:rPr>
          <w:rFonts w:asciiTheme="minorHAnsi" w:hAnsiTheme="minorHAnsi"/>
          <w:sz w:val="20"/>
          <w:szCs w:val="20"/>
          <w:lang w:val="sr-Cyrl-BA" w:eastAsia="sr-Cyrl-CS"/>
        </w:rPr>
        <w:t xml:space="preserve"> </w:t>
      </w:r>
      <w:r w:rsidRPr="005D2D24">
        <w:rPr>
          <w:rFonts w:ascii="Calibri" w:hAnsi="Calibri" w:cs="Calibri"/>
          <w:sz w:val="20"/>
          <w:szCs w:val="20"/>
          <w:lang w:val="sr-Cyrl-BA" w:eastAsia="sr-Cyrl-CS"/>
        </w:rPr>
        <w:t>izvje</w:t>
      </w:r>
      <w:r w:rsidRPr="005D2D24">
        <w:rPr>
          <w:rFonts w:asciiTheme="minorHAnsi" w:hAnsiTheme="minorHAnsi"/>
          <w:sz w:val="20"/>
          <w:szCs w:val="20"/>
          <w:lang w:val="sr-Cyrl-BA" w:eastAsia="sr-Cyrl-CS"/>
        </w:rPr>
        <w:t>štajnu godinu, a odnose se na klijente koji su u toku godine poboljšali finansijsku poziciju i počeli redovno izmirivati dospjele oba</w:t>
      </w:r>
      <w:r>
        <w:rPr>
          <w:rFonts w:asciiTheme="minorHAnsi" w:hAnsiTheme="minorHAnsi"/>
          <w:sz w:val="20"/>
          <w:szCs w:val="20"/>
          <w:lang w:val="sr-Cyrl-BA" w:eastAsia="sr-Cyrl-CS"/>
        </w:rPr>
        <w:t>veze po kreditima i garancijama.</w:t>
      </w:r>
    </w:p>
    <w:p w:rsidR="005934B2" w:rsidRPr="005767EF" w:rsidRDefault="005934B2" w:rsidP="00A401F8">
      <w:pPr>
        <w:rPr>
          <w:rFonts w:asciiTheme="minorHAnsi" w:hAnsiTheme="minorHAnsi"/>
          <w:sz w:val="20"/>
          <w:szCs w:val="20"/>
          <w:lang w:val="sr-Cyrl-BA" w:eastAsia="sr-Cyrl-CS"/>
        </w:rPr>
      </w:pPr>
      <w:r>
        <w:rPr>
          <w:rFonts w:asciiTheme="minorHAnsi" w:hAnsiTheme="minorHAnsi"/>
          <w:sz w:val="20"/>
          <w:szCs w:val="20"/>
          <w:lang w:val="sr-Cyrl-BA" w:eastAsia="sr-Cyrl-CS"/>
        </w:rPr>
        <w:t xml:space="preserve">Preostali iznos od 48.308,87 KM u okviru ove grupe prihoda se odnosi na ispravku vrijednosti potraživanja od Banke Srpske, s obzirom da je Garantni fond tokom 2024. godine iz raspoložive stečajne mase naplatio dio potraživanja po osnovu kamate. Pored toga, ovlašteni procjenitelj je potraživanja procijenio u većem iznosu u odnosu na 2023. godinu, a razlika je priznata kao prihod. </w:t>
      </w:r>
    </w:p>
    <w:p w:rsidR="005934B2" w:rsidRPr="005767EF" w:rsidRDefault="005934B2" w:rsidP="00A401F8">
      <w:pPr>
        <w:autoSpaceDE w:val="0"/>
        <w:autoSpaceDN w:val="0"/>
        <w:adjustRightInd w:val="0"/>
        <w:jc w:val="left"/>
        <w:rPr>
          <w:rFonts w:asciiTheme="minorHAnsi" w:eastAsiaTheme="minorHAnsi" w:hAnsiTheme="minorHAnsi"/>
          <w:bCs/>
          <w:sz w:val="20"/>
          <w:szCs w:val="20"/>
          <w:lang w:val="sr-Latn-RS" w:eastAsia="en-US"/>
        </w:rPr>
      </w:pPr>
    </w:p>
    <w:p w:rsidR="005934B2" w:rsidRPr="005767EF" w:rsidRDefault="005934B2" w:rsidP="00A401F8">
      <w:pPr>
        <w:autoSpaceDE w:val="0"/>
        <w:autoSpaceDN w:val="0"/>
        <w:adjustRightInd w:val="0"/>
        <w:rPr>
          <w:rFonts w:asciiTheme="minorHAnsi" w:eastAsiaTheme="minorHAnsi" w:hAnsiTheme="minorHAnsi"/>
          <w:bCs/>
          <w:sz w:val="20"/>
          <w:szCs w:val="20"/>
          <w:lang w:val="sr-Cyrl-BA" w:eastAsia="en-US"/>
        </w:rPr>
      </w:pPr>
      <w:r w:rsidRPr="007377DB">
        <w:rPr>
          <w:rFonts w:asciiTheme="minorHAnsi" w:eastAsiaTheme="minorHAnsi" w:hAnsiTheme="minorHAnsi"/>
          <w:b/>
          <w:bCs/>
          <w:sz w:val="20"/>
          <w:szCs w:val="20"/>
          <w:lang w:val="sr-Cyrl-BA" w:eastAsia="en-US"/>
        </w:rPr>
        <w:t>Ostali prihodi</w:t>
      </w:r>
      <w:r w:rsidRPr="005767EF">
        <w:rPr>
          <w:rFonts w:asciiTheme="minorHAnsi" w:eastAsiaTheme="minorHAnsi" w:hAnsiTheme="minorHAnsi"/>
          <w:bCs/>
          <w:sz w:val="20"/>
          <w:szCs w:val="20"/>
          <w:lang w:val="sr-Cyrl-BA" w:eastAsia="en-US"/>
        </w:rPr>
        <w:t xml:space="preserve"> u iznosu od </w:t>
      </w:r>
      <w:r>
        <w:rPr>
          <w:rFonts w:asciiTheme="minorHAnsi" w:eastAsiaTheme="minorHAnsi" w:hAnsiTheme="minorHAnsi"/>
          <w:bCs/>
          <w:sz w:val="20"/>
          <w:szCs w:val="20"/>
          <w:lang w:val="sr-Cyrl-BA" w:eastAsia="en-US"/>
        </w:rPr>
        <w:t>25.113,32</w:t>
      </w:r>
      <w:r w:rsidRPr="005767EF">
        <w:rPr>
          <w:rFonts w:asciiTheme="minorHAnsi" w:eastAsiaTheme="minorHAnsi" w:hAnsiTheme="minorHAnsi"/>
          <w:bCs/>
          <w:sz w:val="20"/>
          <w:szCs w:val="20"/>
          <w:lang w:val="sr-Cyrl-BA" w:eastAsia="en-US"/>
        </w:rPr>
        <w:t xml:space="preserve"> KM </w:t>
      </w:r>
      <w:r>
        <w:rPr>
          <w:rFonts w:asciiTheme="minorHAnsi" w:eastAsiaTheme="minorHAnsi" w:hAnsiTheme="minorHAnsi"/>
          <w:bCs/>
          <w:sz w:val="20"/>
          <w:szCs w:val="20"/>
          <w:lang w:val="sr-Cyrl-BA" w:eastAsia="en-US"/>
        </w:rPr>
        <w:t>se odnose</w:t>
      </w:r>
      <w:r w:rsidRPr="005767EF">
        <w:rPr>
          <w:rFonts w:asciiTheme="minorHAnsi" w:eastAsiaTheme="minorHAnsi" w:hAnsiTheme="minorHAnsi"/>
          <w:bCs/>
          <w:sz w:val="20"/>
          <w:szCs w:val="20"/>
          <w:lang w:val="sr-Cyrl-BA" w:eastAsia="en-US"/>
        </w:rPr>
        <w:t xml:space="preserve"> na</w:t>
      </w:r>
      <w:r>
        <w:rPr>
          <w:rFonts w:asciiTheme="minorHAnsi" w:eastAsiaTheme="minorHAnsi" w:hAnsiTheme="minorHAnsi"/>
          <w:bCs/>
          <w:sz w:val="20"/>
          <w:szCs w:val="20"/>
          <w:lang w:val="sr-Cyrl-BA" w:eastAsia="en-US"/>
        </w:rPr>
        <w:t>:</w:t>
      </w:r>
      <w:r w:rsidRPr="005767EF">
        <w:rPr>
          <w:rFonts w:asciiTheme="minorHAnsi" w:eastAsiaTheme="minorHAnsi" w:hAnsiTheme="minorHAnsi"/>
          <w:bCs/>
          <w:sz w:val="20"/>
          <w:szCs w:val="20"/>
          <w:lang w:val="sr-Cyrl-BA" w:eastAsia="en-US"/>
        </w:rPr>
        <w:t xml:space="preserve"> refundacije Fonda zdravstvenog i invalidskog osiguranja Republike Srpske za bolov</w:t>
      </w:r>
      <w:r>
        <w:rPr>
          <w:rFonts w:asciiTheme="minorHAnsi" w:eastAsiaTheme="minorHAnsi" w:hAnsiTheme="minorHAnsi"/>
          <w:bCs/>
          <w:sz w:val="20"/>
          <w:szCs w:val="20"/>
          <w:lang w:val="sr-Cyrl-BA" w:eastAsia="en-US"/>
        </w:rPr>
        <w:t>anja radnika i porodiljski dopust, prihode od naknade štete, prihode po osnovu prestanka priznavanja finansijskih instrumenata u skladu sa MRS 9 i ostale vanredne prihode.</w:t>
      </w:r>
    </w:p>
    <w:p w:rsidR="005934B2" w:rsidRPr="005767EF"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Pr="005767EF" w:rsidRDefault="005934B2" w:rsidP="00A401F8">
      <w:pPr>
        <w:autoSpaceDE w:val="0"/>
        <w:autoSpaceDN w:val="0"/>
        <w:adjustRightInd w:val="0"/>
        <w:rPr>
          <w:rFonts w:asciiTheme="minorHAnsi" w:eastAsiaTheme="minorHAnsi" w:hAnsiTheme="minorHAnsi"/>
          <w:bCs/>
          <w:sz w:val="20"/>
          <w:szCs w:val="20"/>
          <w:lang w:val="sr-Cyrl-BA" w:eastAsia="en-US"/>
        </w:rPr>
      </w:pPr>
      <w:r w:rsidRPr="005767EF">
        <w:rPr>
          <w:rFonts w:asciiTheme="minorHAnsi" w:eastAsiaTheme="minorHAnsi" w:hAnsiTheme="minorHAnsi"/>
          <w:bCs/>
          <w:sz w:val="20"/>
          <w:szCs w:val="20"/>
          <w:lang w:val="sr-Cyrl-BA" w:eastAsia="en-US"/>
        </w:rPr>
        <w:t>Ako posmatramo plan ostvarenja prihoda za 202</w:t>
      </w:r>
      <w:r>
        <w:rPr>
          <w:rFonts w:asciiTheme="minorHAnsi" w:eastAsiaTheme="minorHAnsi" w:hAnsiTheme="minorHAnsi"/>
          <w:bCs/>
          <w:sz w:val="20"/>
          <w:szCs w:val="20"/>
          <w:lang w:val="sr-Cyrl-BA" w:eastAsia="en-US"/>
        </w:rPr>
        <w:t>4</w:t>
      </w:r>
      <w:r w:rsidRPr="005767EF">
        <w:rPr>
          <w:rFonts w:asciiTheme="minorHAnsi" w:eastAsiaTheme="minorHAnsi" w:hAnsiTheme="minorHAnsi"/>
          <w:bCs/>
          <w:sz w:val="20"/>
          <w:szCs w:val="20"/>
          <w:lang w:val="sr-Cyrl-BA" w:eastAsia="en-US"/>
        </w:rPr>
        <w:t xml:space="preserve">. godinu, na većini pozicija je vidljivo značajno odstupanje, odnosno ostvarenje u manjem iznosu od planiranog. Najveće odstupanje je primjetno u realizaciji plana prihoda od premija i provizija, te na poziciji prihoda od </w:t>
      </w:r>
      <w:r>
        <w:rPr>
          <w:rFonts w:asciiTheme="minorHAnsi" w:eastAsiaTheme="minorHAnsi" w:hAnsiTheme="minorHAnsi"/>
          <w:bCs/>
          <w:sz w:val="20"/>
          <w:szCs w:val="20"/>
          <w:lang w:val="sr-Cyrl-BA" w:eastAsia="en-US"/>
        </w:rPr>
        <w:t>kamata</w:t>
      </w:r>
      <w:r w:rsidRPr="005767EF">
        <w:rPr>
          <w:rFonts w:asciiTheme="minorHAnsi" w:eastAsiaTheme="minorHAnsi" w:hAnsiTheme="minorHAnsi"/>
          <w:bCs/>
          <w:sz w:val="20"/>
          <w:szCs w:val="20"/>
          <w:lang w:val="sr-Cyrl-BA" w:eastAsia="en-US"/>
        </w:rPr>
        <w:t xml:space="preserve">. Odstupanje od plana prihoda od premija i provizija je u direktnoj vezi sa činjenicom da nije realizovan plan </w:t>
      </w:r>
      <w:r>
        <w:rPr>
          <w:rFonts w:asciiTheme="minorHAnsi" w:eastAsiaTheme="minorHAnsi" w:hAnsiTheme="minorHAnsi"/>
          <w:bCs/>
          <w:sz w:val="20"/>
          <w:szCs w:val="20"/>
          <w:lang w:val="sr-Cyrl-BA" w:eastAsia="en-US"/>
        </w:rPr>
        <w:t xml:space="preserve">garancija iz redovne aktivnosti. </w:t>
      </w:r>
      <w:r w:rsidRPr="005767EF">
        <w:rPr>
          <w:rFonts w:asciiTheme="minorHAnsi" w:eastAsiaTheme="minorHAnsi" w:hAnsiTheme="minorHAnsi"/>
          <w:bCs/>
          <w:sz w:val="20"/>
          <w:szCs w:val="20"/>
          <w:lang w:val="sr-Cyrl-BA" w:eastAsia="en-US"/>
        </w:rPr>
        <w:t>Neispunjenje plana izdavanja pojedinačnih garancija je jednim dijelom uzrokovano većom zainteresovanošću finansijskih posrednika za garancije iz kreditnog portfelja. Uzrok tome su brža i jednostavnija procedura izdavanja garancija, niže stope premija i manji trošak za klijenta.</w:t>
      </w: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Default="005934B2" w:rsidP="00A401F8">
      <w:pPr>
        <w:autoSpaceDE w:val="0"/>
        <w:autoSpaceDN w:val="0"/>
        <w:adjustRightInd w:val="0"/>
        <w:rPr>
          <w:rFonts w:asciiTheme="minorHAnsi" w:eastAsiaTheme="minorHAnsi" w:hAnsiTheme="minorHAnsi"/>
          <w:bCs/>
          <w:sz w:val="20"/>
          <w:szCs w:val="20"/>
          <w:lang w:val="sr-Cyrl-BA" w:eastAsia="en-US"/>
        </w:rPr>
      </w:pPr>
    </w:p>
    <w:p w:rsidR="005934B2" w:rsidRPr="005767EF" w:rsidRDefault="005934B2" w:rsidP="00A401F8">
      <w:pPr>
        <w:autoSpaceDE w:val="0"/>
        <w:autoSpaceDN w:val="0"/>
        <w:adjustRightInd w:val="0"/>
        <w:jc w:val="left"/>
        <w:rPr>
          <w:rFonts w:asciiTheme="minorHAnsi" w:eastAsiaTheme="minorHAnsi" w:hAnsiTheme="minorHAnsi"/>
          <w:sz w:val="20"/>
          <w:szCs w:val="20"/>
          <w:lang w:val="sr-Cyrl-RS" w:eastAsia="en-US"/>
        </w:rPr>
      </w:pPr>
    </w:p>
    <w:p w:rsidR="005934B2" w:rsidRPr="00EE16CE" w:rsidRDefault="005934B2" w:rsidP="00A401F8">
      <w:pPr>
        <w:pStyle w:val="Heading2"/>
        <w:numPr>
          <w:ilvl w:val="0"/>
          <w:numId w:val="0"/>
        </w:numPr>
        <w:rPr>
          <w:rFonts w:asciiTheme="minorHAnsi" w:hAnsiTheme="minorHAnsi"/>
          <w:szCs w:val="20"/>
          <w:lang w:val="sr-Cyrl-RS"/>
        </w:rPr>
      </w:pPr>
      <w:bookmarkStart w:id="13" w:name="_Toc135292176"/>
      <w:r>
        <w:rPr>
          <w:rFonts w:asciiTheme="minorHAnsi" w:hAnsiTheme="minorHAnsi"/>
          <w:szCs w:val="20"/>
          <w:lang w:val="sr-Cyrl-RS"/>
        </w:rPr>
        <w:t xml:space="preserve">3.2 </w:t>
      </w:r>
      <w:r w:rsidRPr="005767EF">
        <w:rPr>
          <w:rFonts w:asciiTheme="minorHAnsi" w:hAnsiTheme="minorHAnsi"/>
          <w:szCs w:val="20"/>
        </w:rPr>
        <w:t>ANALIZ</w:t>
      </w:r>
      <w:r>
        <w:rPr>
          <w:rFonts w:asciiTheme="minorHAnsi" w:hAnsiTheme="minorHAnsi"/>
          <w:szCs w:val="20"/>
        </w:rPr>
        <w:t xml:space="preserve">A OSTVARENIH RASHODA </w:t>
      </w:r>
      <w:r>
        <w:rPr>
          <w:rFonts w:asciiTheme="minorHAnsi" w:hAnsiTheme="minorHAnsi"/>
          <w:szCs w:val="20"/>
          <w:lang w:val="sr-Cyrl-RS"/>
        </w:rPr>
        <w:t>U</w:t>
      </w:r>
      <w:r w:rsidRPr="005767EF">
        <w:rPr>
          <w:rFonts w:asciiTheme="minorHAnsi" w:hAnsiTheme="minorHAnsi"/>
          <w:szCs w:val="20"/>
        </w:rPr>
        <w:t xml:space="preserve"> 202</w:t>
      </w:r>
      <w:r>
        <w:rPr>
          <w:rFonts w:asciiTheme="minorHAnsi" w:hAnsiTheme="minorHAnsi"/>
          <w:szCs w:val="20"/>
          <w:lang w:val="bs-Latn-BA"/>
        </w:rPr>
        <w:t>4</w:t>
      </w:r>
      <w:r w:rsidRPr="005767EF">
        <w:rPr>
          <w:rFonts w:asciiTheme="minorHAnsi" w:hAnsiTheme="minorHAnsi"/>
          <w:szCs w:val="20"/>
        </w:rPr>
        <w:t>. GODIN</w:t>
      </w:r>
      <w:bookmarkEnd w:id="13"/>
      <w:r>
        <w:rPr>
          <w:rFonts w:asciiTheme="minorHAnsi" w:hAnsiTheme="minorHAnsi"/>
          <w:szCs w:val="20"/>
          <w:lang w:val="sr-Cyrl-RS"/>
        </w:rPr>
        <w:t>I</w:t>
      </w:r>
    </w:p>
    <w:p w:rsidR="005934B2" w:rsidRDefault="005934B2" w:rsidP="00A401F8">
      <w:pPr>
        <w:rPr>
          <w:rFonts w:asciiTheme="minorHAnsi" w:hAnsiTheme="minorHAnsi"/>
          <w:sz w:val="20"/>
          <w:szCs w:val="20"/>
          <w:lang w:val="sr-Cyrl-CS" w:eastAsia="sr-Cyrl-CS"/>
        </w:rPr>
      </w:pPr>
    </w:p>
    <w:p w:rsidR="005934B2" w:rsidRPr="005767EF" w:rsidRDefault="005934B2" w:rsidP="00A401F8">
      <w:pPr>
        <w:rPr>
          <w:rFonts w:asciiTheme="minorHAnsi" w:hAnsiTheme="minorHAnsi"/>
          <w:sz w:val="20"/>
          <w:szCs w:val="20"/>
          <w:lang w:val="sr-Cyrl-CS" w:eastAsia="sr-Cyrl-CS"/>
        </w:rPr>
      </w:pPr>
    </w:p>
    <w:p w:rsidR="005934B2" w:rsidRPr="005767EF" w:rsidRDefault="005934B2" w:rsidP="00A401F8">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Pregled ostvarenih rashoda poslovanja u 202</w:t>
      </w:r>
      <w:r>
        <w:rPr>
          <w:rFonts w:asciiTheme="minorHAnsi" w:hAnsiTheme="minorHAnsi"/>
          <w:b/>
          <w:sz w:val="20"/>
          <w:szCs w:val="20"/>
          <w:lang w:eastAsia="sr-Cyrl-CS"/>
        </w:rPr>
        <w:t>4</w:t>
      </w:r>
      <w:r w:rsidRPr="005767EF">
        <w:rPr>
          <w:rFonts w:asciiTheme="minorHAnsi" w:hAnsiTheme="minorHAnsi"/>
          <w:b/>
          <w:sz w:val="20"/>
          <w:szCs w:val="20"/>
          <w:lang w:val="sr-Cyrl-CS" w:eastAsia="sr-Cyrl-CS"/>
        </w:rPr>
        <w:t>. godini</w:t>
      </w:r>
    </w:p>
    <w:p w:rsidR="005934B2" w:rsidRPr="005767EF" w:rsidRDefault="005934B2" w:rsidP="00A401F8">
      <w:pPr>
        <w:rPr>
          <w:rFonts w:asciiTheme="minorHAnsi" w:hAnsiTheme="minorHAnsi"/>
          <w:b/>
          <w:sz w:val="20"/>
          <w:szCs w:val="20"/>
          <w:lang w:val="sr-Cyrl-BA" w:eastAsia="sr-Cyrl-CS"/>
        </w:rPr>
      </w:pPr>
    </w:p>
    <w:p w:rsidR="005934B2" w:rsidRDefault="005934B2" w:rsidP="00A401F8">
      <w:pPr>
        <w:ind w:left="7788"/>
        <w:rPr>
          <w:rFonts w:asciiTheme="minorHAnsi" w:hAnsiTheme="minorHAnsi"/>
          <w:b/>
          <w:sz w:val="20"/>
          <w:szCs w:val="20"/>
          <w:lang w:val="sr-Cyrl-BA" w:eastAsia="sr-Cyrl-CS"/>
        </w:rPr>
      </w:pPr>
      <w:r w:rsidRPr="005767EF">
        <w:rPr>
          <w:rFonts w:asciiTheme="minorHAnsi" w:hAnsiTheme="minorHAnsi"/>
          <w:b/>
          <w:sz w:val="20"/>
          <w:szCs w:val="20"/>
          <w:lang w:val="sr-Cyrl-BA" w:eastAsia="sr-Cyrl-CS"/>
        </w:rPr>
        <w:t xml:space="preserve">                    </w:t>
      </w:r>
      <w:r>
        <w:rPr>
          <w:rFonts w:asciiTheme="minorHAnsi" w:hAnsiTheme="minorHAnsi"/>
          <w:b/>
          <w:sz w:val="20"/>
          <w:szCs w:val="20"/>
          <w:lang w:val="sr-Cyrl-BA" w:eastAsia="sr-Cyrl-CS"/>
        </w:rPr>
        <w:t xml:space="preserve">          </w:t>
      </w:r>
      <w:r w:rsidRPr="005767EF">
        <w:rPr>
          <w:rFonts w:asciiTheme="minorHAnsi" w:hAnsiTheme="minorHAnsi"/>
          <w:b/>
          <w:sz w:val="20"/>
          <w:szCs w:val="20"/>
          <w:lang w:val="sr-Cyrl-BA" w:eastAsia="sr-Cyrl-CS"/>
        </w:rPr>
        <w:t xml:space="preserve">Tabela </w:t>
      </w:r>
      <w:r>
        <w:rPr>
          <w:rFonts w:asciiTheme="minorHAnsi" w:hAnsiTheme="minorHAnsi"/>
          <w:b/>
          <w:sz w:val="20"/>
          <w:szCs w:val="20"/>
          <w:lang w:val="sr-Cyrl-BA" w:eastAsia="sr-Cyrl-CS"/>
        </w:rPr>
        <w:t>18</w:t>
      </w:r>
    </w:p>
    <w:p w:rsidR="005934B2" w:rsidRPr="005767EF" w:rsidRDefault="005934B2" w:rsidP="00A401F8">
      <w:pPr>
        <w:ind w:left="7788"/>
        <w:rPr>
          <w:rFonts w:asciiTheme="minorHAnsi" w:hAnsiTheme="minorHAnsi"/>
          <w:b/>
          <w:sz w:val="20"/>
          <w:szCs w:val="20"/>
          <w:lang w:val="sr-Cyrl-BA" w:eastAsia="sr-Cyrl-CS"/>
        </w:rPr>
      </w:pPr>
    </w:p>
    <w:tbl>
      <w:tblPr>
        <w:tblW w:w="8789" w:type="dxa"/>
        <w:tblInd w:w="108" w:type="dxa"/>
        <w:tblLook w:val="04A0" w:firstRow="1" w:lastRow="0" w:firstColumn="1" w:lastColumn="0" w:noHBand="0" w:noVBand="1"/>
      </w:tblPr>
      <w:tblGrid>
        <w:gridCol w:w="851"/>
        <w:gridCol w:w="3969"/>
        <w:gridCol w:w="1417"/>
        <w:gridCol w:w="1560"/>
        <w:gridCol w:w="992"/>
      </w:tblGrid>
      <w:tr w:rsidR="005934B2" w:rsidRPr="004828F7" w:rsidTr="000366C5">
        <w:trPr>
          <w:trHeight w:val="630"/>
        </w:trPr>
        <w:tc>
          <w:tcPr>
            <w:tcW w:w="85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Konto</w:t>
            </w:r>
          </w:p>
        </w:tc>
        <w:tc>
          <w:tcPr>
            <w:tcW w:w="3969" w:type="dxa"/>
            <w:tcBorders>
              <w:top w:val="single" w:sz="4" w:space="0" w:color="auto"/>
              <w:left w:val="nil"/>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Naziv</w:t>
            </w:r>
          </w:p>
        </w:tc>
        <w:tc>
          <w:tcPr>
            <w:tcW w:w="1417" w:type="dxa"/>
            <w:tcBorders>
              <w:top w:val="single" w:sz="4" w:space="0" w:color="auto"/>
              <w:left w:val="nil"/>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Planirano u 2024. godini</w:t>
            </w:r>
          </w:p>
        </w:tc>
        <w:tc>
          <w:tcPr>
            <w:tcW w:w="1560" w:type="dxa"/>
            <w:tcBorders>
              <w:top w:val="single" w:sz="4" w:space="0" w:color="auto"/>
              <w:left w:val="nil"/>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Ostvareno u 2024. godini</w:t>
            </w:r>
          </w:p>
        </w:tc>
        <w:tc>
          <w:tcPr>
            <w:tcW w:w="992" w:type="dxa"/>
            <w:tcBorders>
              <w:top w:val="single" w:sz="4" w:space="0" w:color="auto"/>
              <w:left w:val="nil"/>
              <w:bottom w:val="single" w:sz="4" w:space="0" w:color="auto"/>
              <w:right w:val="single" w:sz="4" w:space="0" w:color="auto"/>
            </w:tcBorders>
            <w:shd w:val="clear" w:color="000000" w:fill="8DB4E2"/>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Indeks</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2</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3</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sz w:val="18"/>
                <w:szCs w:val="18"/>
              </w:rPr>
            </w:pPr>
            <w:r w:rsidRPr="004828F7">
              <w:rPr>
                <w:rFonts w:ascii="Calibri" w:hAnsi="Calibri"/>
                <w:bCs/>
                <w:sz w:val="18"/>
                <w:szCs w:val="18"/>
              </w:rPr>
              <w:t>60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Rashodi kamata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bCs/>
                <w:sz w:val="18"/>
                <w:szCs w:val="18"/>
              </w:rPr>
            </w:pP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sidRPr="004828F7">
              <w:rPr>
                <w:rFonts w:ascii="Calibri" w:hAnsi="Calibri"/>
                <w:bCs/>
                <w:color w:val="auto"/>
                <w:sz w:val="18"/>
                <w:szCs w:val="18"/>
              </w:rPr>
              <w:t>16.008,38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sz w:val="18"/>
                <w:szCs w:val="18"/>
              </w:rPr>
            </w:pPr>
            <w:r w:rsidRPr="004828F7">
              <w:rPr>
                <w:rFonts w:ascii="Calibri" w:hAnsi="Calibri"/>
                <w:bCs/>
                <w:sz w:val="18"/>
                <w:szCs w:val="18"/>
              </w:rPr>
              <w:t>610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Rashodi naknada u domaćoj valuti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sz w:val="18"/>
                <w:szCs w:val="18"/>
              </w:rPr>
            </w:pP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sidRPr="004828F7">
              <w:rPr>
                <w:rFonts w:ascii="Calibri" w:hAnsi="Calibri"/>
                <w:bCs/>
                <w:color w:val="auto"/>
                <w:sz w:val="18"/>
                <w:szCs w:val="18"/>
              </w:rPr>
              <w:t>4.216,69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sz w:val="18"/>
                <w:szCs w:val="18"/>
              </w:rPr>
            </w:pPr>
            <w:r w:rsidRPr="004828F7">
              <w:rPr>
                <w:rFonts w:ascii="Calibri" w:hAnsi="Calibri"/>
                <w:bCs/>
                <w:sz w:val="18"/>
                <w:szCs w:val="18"/>
              </w:rPr>
              <w:t>61002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Naknada Centralnom registru HOV</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sz w:val="18"/>
                <w:szCs w:val="18"/>
              </w:rPr>
            </w:pPr>
            <w:r w:rsidRPr="004828F7">
              <w:rPr>
                <w:rFonts w:ascii="Calibri" w:hAnsi="Calibri"/>
                <w:bCs/>
                <w:sz w:val="18"/>
                <w:szCs w:val="18"/>
              </w:rPr>
              <w:t>4.000,00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sidRPr="004828F7">
              <w:rPr>
                <w:rFonts w:ascii="Calibri" w:hAnsi="Calibri"/>
                <w:bCs/>
                <w:color w:val="auto"/>
                <w:sz w:val="18"/>
                <w:szCs w:val="18"/>
              </w:rPr>
              <w:t>4</w:t>
            </w:r>
            <w:r>
              <w:rPr>
                <w:rFonts w:ascii="Calibri" w:hAnsi="Calibri"/>
                <w:bCs/>
                <w:color w:val="auto"/>
                <w:sz w:val="18"/>
                <w:szCs w:val="18"/>
                <w:lang w:val="sr-Cyrl-RS"/>
              </w:rPr>
              <w:t>.</w:t>
            </w:r>
            <w:r w:rsidRPr="004828F7">
              <w:rPr>
                <w:rFonts w:ascii="Calibri" w:hAnsi="Calibri"/>
                <w:bCs/>
                <w:color w:val="auto"/>
                <w:sz w:val="18"/>
                <w:szCs w:val="18"/>
              </w:rPr>
              <w:t>000,2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bCs/>
                <w:sz w:val="18"/>
                <w:szCs w:val="18"/>
              </w:rPr>
            </w:pPr>
            <w:r w:rsidRPr="004828F7">
              <w:rPr>
                <w:rFonts w:ascii="Calibri" w:hAnsi="Calibri"/>
                <w:bCs/>
                <w:sz w:val="18"/>
                <w:szCs w:val="18"/>
              </w:rPr>
              <w:t>100,01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sz w:val="18"/>
                <w:szCs w:val="18"/>
              </w:rPr>
            </w:pPr>
            <w:r w:rsidRPr="004828F7">
              <w:rPr>
                <w:rFonts w:ascii="Calibri" w:hAnsi="Calibri"/>
                <w:bCs/>
                <w:sz w:val="18"/>
                <w:szCs w:val="18"/>
              </w:rPr>
              <w:t>622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Gubici po osnovu prestanka priznavanja finansijskih sredstava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sz w:val="18"/>
                <w:szCs w:val="18"/>
              </w:rPr>
            </w:pP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sidRPr="004828F7">
              <w:rPr>
                <w:rFonts w:ascii="Calibri" w:hAnsi="Calibri"/>
                <w:bCs/>
                <w:color w:val="auto"/>
                <w:sz w:val="18"/>
                <w:szCs w:val="18"/>
              </w:rPr>
              <w:t>204.474,65</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color w:val="FF0000"/>
                <w:sz w:val="18"/>
                <w:szCs w:val="18"/>
              </w:rPr>
            </w:pPr>
            <w:r w:rsidRPr="004828F7">
              <w:rPr>
                <w:rFonts w:ascii="Calibri" w:hAnsi="Calibri"/>
                <w:bCs/>
                <w:color w:val="FF0000"/>
                <w:sz w:val="18"/>
                <w:szCs w:val="18"/>
              </w:rPr>
              <w:t> </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Rashodi rezervisanja za ostala lična primanja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sz w:val="18"/>
                <w:szCs w:val="18"/>
              </w:rPr>
            </w:pPr>
            <w:r w:rsidRPr="004828F7">
              <w:rPr>
                <w:rFonts w:ascii="Calibri" w:hAnsi="Calibri"/>
                <w:bCs/>
                <w:sz w:val="18"/>
                <w:szCs w:val="18"/>
              </w:rPr>
              <w:t>25.000,00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Pr>
                <w:rFonts w:ascii="Calibri" w:hAnsi="Calibri"/>
                <w:bCs/>
                <w:color w:val="auto"/>
                <w:sz w:val="18"/>
                <w:szCs w:val="18"/>
                <w:lang w:val="sr-Cyrl-RS"/>
              </w:rPr>
              <w:t>0,00</w:t>
            </w:r>
            <w:r w:rsidRPr="004828F7">
              <w:rPr>
                <w:rFonts w:ascii="Calibri" w:hAnsi="Calibri"/>
                <w:bCs/>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color w:val="auto"/>
                <w:sz w:val="18"/>
                <w:szCs w:val="18"/>
              </w:rPr>
            </w:pPr>
            <w:r w:rsidRPr="004828F7">
              <w:rPr>
                <w:rFonts w:ascii="Calibri" w:hAnsi="Calibri"/>
                <w:bCs/>
                <w:color w:val="auto"/>
                <w:sz w:val="18"/>
                <w:szCs w:val="18"/>
              </w:rPr>
              <w:t>6332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Gubici po osnovu prodaje sredstava namijenjenih prodaji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sz w:val="18"/>
                <w:szCs w:val="18"/>
              </w:rPr>
            </w:pPr>
            <w:r>
              <w:rPr>
                <w:rFonts w:ascii="Calibri" w:hAnsi="Calibri"/>
                <w:bCs/>
                <w:sz w:val="18"/>
                <w:szCs w:val="18"/>
                <w:lang w:val="sr-Cyrl-RS"/>
              </w:rPr>
              <w:t>0,00</w:t>
            </w: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sidRPr="004828F7">
              <w:rPr>
                <w:rFonts w:ascii="Calibri" w:hAnsi="Calibri"/>
                <w:bCs/>
                <w:color w:val="auto"/>
                <w:sz w:val="18"/>
                <w:szCs w:val="18"/>
              </w:rPr>
              <w:t>53.725,33</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color w:val="auto"/>
                <w:sz w:val="18"/>
                <w:szCs w:val="18"/>
              </w:rPr>
            </w:pPr>
            <w:r w:rsidRPr="004828F7">
              <w:rPr>
                <w:rFonts w:ascii="Calibri" w:hAnsi="Calibri"/>
                <w:bCs/>
                <w:color w:val="auto"/>
                <w:sz w:val="18"/>
                <w:szCs w:val="18"/>
              </w:rPr>
              <w:t>6402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 xml:space="preserve">Rashodi indirektnih otpisa plasmana </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sz w:val="18"/>
                <w:szCs w:val="18"/>
              </w:rPr>
            </w:pPr>
            <w:r>
              <w:rPr>
                <w:rFonts w:ascii="Calibri" w:hAnsi="Calibri"/>
                <w:bCs/>
                <w:sz w:val="18"/>
                <w:szCs w:val="18"/>
                <w:lang w:val="sr-Cyrl-RS"/>
              </w:rPr>
              <w:t>0,00</w:t>
            </w:r>
            <w:r w:rsidRPr="004828F7">
              <w:rPr>
                <w:rFonts w:ascii="Calibri" w:hAnsi="Calibri"/>
                <w:bCs/>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sidRPr="004828F7">
              <w:rPr>
                <w:rFonts w:ascii="Calibri" w:hAnsi="Calibri"/>
                <w:bCs/>
                <w:color w:val="auto"/>
                <w:sz w:val="18"/>
                <w:szCs w:val="18"/>
              </w:rPr>
              <w:t>178.723,98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color w:val="auto"/>
                <w:sz w:val="18"/>
                <w:szCs w:val="18"/>
              </w:rPr>
            </w:pPr>
            <w:r w:rsidRPr="004828F7">
              <w:rPr>
                <w:rFonts w:ascii="Calibri" w:hAnsi="Calibri"/>
                <w:bCs/>
                <w:color w:val="auto"/>
                <w:sz w:val="18"/>
                <w:szCs w:val="18"/>
              </w:rPr>
              <w:t>6410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Rashodi rezervisanja po vanbilansnoj aktivi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bCs/>
                <w:sz w:val="18"/>
                <w:szCs w:val="18"/>
              </w:rPr>
            </w:pPr>
            <w:r w:rsidRPr="004828F7">
              <w:rPr>
                <w:rFonts w:ascii="Calibri" w:hAnsi="Calibri"/>
                <w:bCs/>
                <w:sz w:val="18"/>
                <w:szCs w:val="18"/>
              </w:rPr>
              <w:t>200.000,00</w:t>
            </w:r>
          </w:p>
        </w:tc>
        <w:tc>
          <w:tcPr>
            <w:tcW w:w="1560" w:type="dxa"/>
            <w:tcBorders>
              <w:top w:val="nil"/>
              <w:left w:val="nil"/>
              <w:bottom w:val="nil"/>
              <w:right w:val="single" w:sz="4" w:space="0" w:color="auto"/>
            </w:tcBorders>
            <w:shd w:val="clear" w:color="auto" w:fill="auto"/>
            <w:noWrap/>
            <w:vAlign w:val="center"/>
            <w:hideMark/>
          </w:tcPr>
          <w:p w:rsidR="005934B2" w:rsidRPr="004828F7" w:rsidRDefault="005934B2" w:rsidP="000366C5">
            <w:pPr>
              <w:jc w:val="right"/>
              <w:rPr>
                <w:rFonts w:ascii="Calibri" w:hAnsi="Calibri"/>
                <w:bCs/>
                <w:color w:val="auto"/>
                <w:sz w:val="18"/>
                <w:szCs w:val="18"/>
              </w:rPr>
            </w:pPr>
            <w:r w:rsidRPr="004828F7">
              <w:rPr>
                <w:rFonts w:ascii="Calibri" w:hAnsi="Calibri"/>
                <w:bCs/>
                <w:color w:val="auto"/>
                <w:sz w:val="18"/>
                <w:szCs w:val="18"/>
              </w:rPr>
              <w:t>360.288,35</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bCs/>
                <w:sz w:val="18"/>
                <w:szCs w:val="18"/>
              </w:rPr>
            </w:pPr>
            <w:r w:rsidRPr="004828F7">
              <w:rPr>
                <w:rFonts w:ascii="Calibri" w:hAnsi="Calibri"/>
                <w:bCs/>
                <w:sz w:val="18"/>
                <w:szCs w:val="18"/>
              </w:rPr>
              <w:t>180,14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650</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 xml:space="preserve">Troškovi zarada </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920.000,00</w:t>
            </w:r>
          </w:p>
        </w:tc>
        <w:tc>
          <w:tcPr>
            <w:tcW w:w="1560" w:type="dxa"/>
            <w:tcBorders>
              <w:top w:val="single" w:sz="4" w:space="0" w:color="auto"/>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773.116,23</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84,03</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6500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zarada zaposlenih</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851.195,00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687.631,99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80,78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6501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Pr>
                <w:rFonts w:ascii="Calibri" w:hAnsi="Calibri"/>
                <w:sz w:val="18"/>
                <w:szCs w:val="18"/>
              </w:rPr>
              <w:t xml:space="preserve">Troškovi </w:t>
            </w:r>
            <w:r>
              <w:rPr>
                <w:rFonts w:ascii="Calibri" w:hAnsi="Calibri"/>
                <w:sz w:val="18"/>
                <w:szCs w:val="18"/>
                <w:lang w:val="sr-Cyrl-RS"/>
              </w:rPr>
              <w:t>zarada</w:t>
            </w:r>
            <w:r w:rsidRPr="004828F7">
              <w:rPr>
                <w:rFonts w:ascii="Calibri" w:hAnsi="Calibri"/>
                <w:sz w:val="18"/>
                <w:szCs w:val="18"/>
              </w:rPr>
              <w:t xml:space="preserve"> – Nadzorni odbor</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36.000,00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36.000,00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6503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zarada – Odbor za reviziju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12.960,00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12.960,00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6504</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zarada – direktor interne revizije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5.760,00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5.760,00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6505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Evropskog dobrovoljnog penzijskog fonda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14.085,00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10.380,00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73,70</w:t>
            </w:r>
          </w:p>
        </w:tc>
      </w:tr>
      <w:tr w:rsidR="005934B2" w:rsidRPr="004828F7" w:rsidTr="000366C5">
        <w:trPr>
          <w:trHeight w:val="21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6507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 xml:space="preserve">Troškovi </w:t>
            </w:r>
            <w:r>
              <w:rPr>
                <w:rFonts w:ascii="Calibri" w:hAnsi="Calibri"/>
                <w:sz w:val="18"/>
                <w:szCs w:val="18"/>
                <w:lang w:val="sr-Cyrl-RS"/>
              </w:rPr>
              <w:t>zarad</w:t>
            </w:r>
            <w:r w:rsidRPr="004828F7">
              <w:rPr>
                <w:rFonts w:ascii="Calibri" w:hAnsi="Calibri"/>
                <w:sz w:val="18"/>
                <w:szCs w:val="18"/>
              </w:rPr>
              <w:t>a – Ugovor van radnog odnosa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Pr>
                <w:rFonts w:ascii="Calibri" w:hAnsi="Calibri"/>
                <w:sz w:val="18"/>
                <w:szCs w:val="18"/>
                <w:lang w:val="sr-Cyrl-RS"/>
              </w:rPr>
              <w:t>0,00</w:t>
            </w: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20.384,24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651</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naknada zarada</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77.000,00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73.239,47</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95,12</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6510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Naknada topli obrok</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51.500,00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48.515,81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94,21</w:t>
            </w:r>
          </w:p>
        </w:tc>
      </w:tr>
      <w:tr w:rsidR="005934B2" w:rsidRPr="004828F7" w:rsidTr="000366C5">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6511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naknada – regres za godišnji odmor</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25.500,00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24.723,66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96,96</w:t>
            </w:r>
          </w:p>
        </w:tc>
      </w:tr>
      <w:tr w:rsidR="005934B2" w:rsidRPr="004828F7" w:rsidTr="000366C5">
        <w:trPr>
          <w:trHeight w:val="315"/>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652</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poreza na zarade i naknada zarada</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120.635,00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88.546,22</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73,40</w:t>
            </w:r>
          </w:p>
        </w:tc>
      </w:tr>
      <w:tr w:rsidR="005934B2" w:rsidRPr="004828F7" w:rsidTr="000366C5">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za zarade i naknade zarada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93.553,00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59.979,14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64,11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za topli obrok</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6.900,00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6.362,89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92,22</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bCs/>
                <w:sz w:val="18"/>
                <w:szCs w:val="18"/>
              </w:rPr>
            </w:pPr>
            <w:r w:rsidRPr="004828F7">
              <w:rPr>
                <w:rFonts w:ascii="Calibri" w:hAnsi="Calibri"/>
                <w:bCs/>
                <w:sz w:val="18"/>
                <w:szCs w:val="18"/>
              </w:rPr>
              <w:t>65212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na zarade i naknade zarada –autorski rad</w:t>
            </w:r>
          </w:p>
        </w:tc>
        <w:tc>
          <w:tcPr>
            <w:tcW w:w="1417"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1.100,00</w:t>
            </w:r>
          </w:p>
        </w:tc>
        <w:tc>
          <w:tcPr>
            <w:tcW w:w="1560"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520,00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47,27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65213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Ugovor van ranog odnosa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Pr>
                <w:rFonts w:ascii="Calibri" w:hAnsi="Calibri"/>
                <w:sz w:val="18"/>
                <w:szCs w:val="18"/>
                <w:lang w:val="sr-Cyrl-RS"/>
              </w:rPr>
              <w:t>0,00</w:t>
            </w: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3.045,92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za naknade Nadzorni odbor</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5.500,00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5.379,60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97,81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po poreskoj kartici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2.500,00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2.581,44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103,26</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na zarade i naknade zarada –regres</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3.450,00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3.242,46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93,98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6526</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na zarade i nak. zarada – Odbor za reviziju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2.200,00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1.936,44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88,02</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poreza na zarade i nak.zarada dir.interne revizije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lang w:val="sr-Cyrl-RS"/>
              </w:rPr>
            </w:pPr>
            <w:r w:rsidRPr="004828F7">
              <w:rPr>
                <w:rFonts w:ascii="Calibri" w:hAnsi="Calibri"/>
                <w:sz w:val="18"/>
                <w:szCs w:val="18"/>
              </w:rPr>
              <w:t>1</w:t>
            </w:r>
            <w:r>
              <w:rPr>
                <w:rFonts w:ascii="Calibri" w:hAnsi="Calibri"/>
                <w:sz w:val="18"/>
                <w:szCs w:val="18"/>
                <w:lang w:val="sr-Cyrl-RS"/>
              </w:rPr>
              <w:t>.</w:t>
            </w:r>
            <w:r w:rsidRPr="004828F7">
              <w:rPr>
                <w:rFonts w:ascii="Calibri" w:hAnsi="Calibri"/>
                <w:sz w:val="18"/>
                <w:szCs w:val="18"/>
              </w:rPr>
              <w:t>000</w:t>
            </w:r>
            <w:r>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860,64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86,06</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6529</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Pr>
                <w:rFonts w:ascii="Calibri" w:hAnsi="Calibri"/>
                <w:sz w:val="18"/>
                <w:szCs w:val="18"/>
              </w:rPr>
              <w:t>Troškovi poreza na zarade i nak</w:t>
            </w:r>
            <w:r>
              <w:rPr>
                <w:rFonts w:ascii="Calibri" w:hAnsi="Calibri"/>
                <w:sz w:val="18"/>
                <w:szCs w:val="18"/>
                <w:lang w:val="sr-Cyrl-RS"/>
              </w:rPr>
              <w:t xml:space="preserve">nade </w:t>
            </w:r>
            <w:r w:rsidRPr="004828F7">
              <w:rPr>
                <w:rFonts w:ascii="Calibri" w:hAnsi="Calibri"/>
                <w:sz w:val="18"/>
                <w:szCs w:val="18"/>
              </w:rPr>
              <w:t>zarada –porez ugovor o djelu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4.432,00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4.637,69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104,64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653</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doprinosa na zarade i naknade zarada</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512.318,00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425.081,85</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82,97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zarade i naknade zarada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435.228,00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337.042,75</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77,44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za topli obrok</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26.472,00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24.657,14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93,14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65312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zarade i naknade zarada – autorski rad</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1.480,00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49,33</w:t>
            </w:r>
          </w:p>
        </w:tc>
      </w:tr>
      <w:tr w:rsidR="005934B2" w:rsidRPr="004828F7" w:rsidTr="000366C5">
        <w:trPr>
          <w:trHeight w:val="690"/>
        </w:trPr>
        <w:tc>
          <w:tcPr>
            <w:tcW w:w="85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Konto</w:t>
            </w:r>
          </w:p>
        </w:tc>
        <w:tc>
          <w:tcPr>
            <w:tcW w:w="3969"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Naziv</w:t>
            </w:r>
          </w:p>
        </w:tc>
        <w:tc>
          <w:tcPr>
            <w:tcW w:w="141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Planirano u 2024. godini</w:t>
            </w:r>
          </w:p>
        </w:tc>
        <w:tc>
          <w:tcPr>
            <w:tcW w:w="15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Ostvareno u 2024. godini</w:t>
            </w:r>
          </w:p>
        </w:tc>
        <w:tc>
          <w:tcPr>
            <w:tcW w:w="992"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Indeks</w:t>
            </w:r>
          </w:p>
        </w:tc>
      </w:tr>
      <w:tr w:rsidR="005934B2" w:rsidRPr="004828F7" w:rsidTr="000366C5">
        <w:trPr>
          <w:trHeight w:val="244"/>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65313</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zarade i naknade zarada- Ugovor van radnog odnosa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10.526,59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naknade Nadzorni odbor</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18.591,00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18.591,00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naknade – beneficirani  radni staž</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2.455,51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81,85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6536</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zarade i naknade-regres</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12.959,00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12.564,24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96,95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zarade i nak.de zarada – Odbor za reviziju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6.693,00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6.692,40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99,99</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6538</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zarade i naknade   - direktor int. Revizije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2.974,56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99,15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65391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doprinosa na zarade i naknade zarade – ugovor o djelu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3.375,00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8.097,66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239,93</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654</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naknada za privremene i povremene poslove</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22.000,00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37.036,01</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168,35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6540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naknada za privremene i povremene poslove-Ugovor o djelu neto</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13.000,00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31.036,01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238,74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6542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Obaveze po osnovu autorskog rada – Neto</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9.000,00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6.000,00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66,67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color w:val="auto"/>
                <w:sz w:val="18"/>
                <w:szCs w:val="18"/>
              </w:rPr>
            </w:pPr>
            <w:r w:rsidRPr="004828F7">
              <w:rPr>
                <w:rFonts w:ascii="Calibri" w:hAnsi="Calibri"/>
                <w:b/>
                <w:bCs/>
                <w:color w:val="auto"/>
                <w:sz w:val="18"/>
                <w:szCs w:val="18"/>
              </w:rPr>
              <w:t>655</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color w:val="auto"/>
                <w:sz w:val="18"/>
                <w:szCs w:val="18"/>
              </w:rPr>
            </w:pPr>
            <w:r w:rsidRPr="004828F7">
              <w:rPr>
                <w:rFonts w:ascii="Calibri" w:hAnsi="Calibri"/>
                <w:b/>
                <w:bCs/>
                <w:color w:val="auto"/>
                <w:sz w:val="18"/>
                <w:szCs w:val="18"/>
              </w:rPr>
              <w:t>Ostali lični rashodi</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97.500,00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50.077,73</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51,36</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prevoza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26.000,00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22.845,84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87,87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65510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otpremnine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9.500,00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8.554,95</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90,05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dnevnica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1.918,92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31,98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smještaja i hrane na službenom putu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16.000,00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4.962,82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31,02</w:t>
            </w:r>
          </w:p>
        </w:tc>
      </w:tr>
      <w:tr w:rsidR="005934B2" w:rsidRPr="004828F7" w:rsidTr="000366C5">
        <w:trPr>
          <w:trHeight w:val="2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6554</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prevoza na službenom putu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Pr>
                <w:rFonts w:ascii="Calibri" w:hAnsi="Calibri"/>
                <w:color w:val="auto"/>
                <w:sz w:val="18"/>
                <w:szCs w:val="18"/>
                <w:lang w:val="sr-Cyrl-RS"/>
              </w:rPr>
              <w:t>0,00</w:t>
            </w:r>
            <w:r w:rsidRPr="004828F7">
              <w:rPr>
                <w:rFonts w:ascii="Calibri" w:hAnsi="Calibri"/>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0,00</w:t>
            </w:r>
          </w:p>
        </w:tc>
      </w:tr>
      <w:tr w:rsidR="005934B2" w:rsidRPr="004828F7" w:rsidTr="000366C5">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6556</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putarine na službenom putu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1.200,00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874,69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72,89</w:t>
            </w:r>
          </w:p>
        </w:tc>
      </w:tr>
      <w:tr w:rsidR="005934B2" w:rsidRPr="004828F7" w:rsidTr="000366C5">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goriva službenog automobila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16.000,00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9.679,00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60,49</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6558</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Isplate radnicima po osnovu Opšteg kolektivnog ugovora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17.600,00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Pr>
                <w:rFonts w:ascii="Calibri" w:hAnsi="Calibri"/>
                <w:color w:val="auto"/>
                <w:sz w:val="18"/>
                <w:szCs w:val="18"/>
                <w:lang w:val="sr-Cyrl-RS"/>
              </w:rPr>
              <w:t>0,00</w:t>
            </w:r>
            <w:r w:rsidRPr="004828F7">
              <w:rPr>
                <w:rFonts w:ascii="Calibri" w:hAnsi="Calibri"/>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6559</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parkinga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1.200,00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1.241,51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103,46</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660</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materijala</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9.350,00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6.309,82</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67,48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6601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kancelarijskog materijala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7.550,00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4.872,04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64,53</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6603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ostalog materijala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1.800,00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1.437,78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79,88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661</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proizvodnih usluga</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75.000,00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54.349,20</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72,47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6610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proizvodnih usluga – usluge održavanja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33.000,00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7.582,18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22,98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6611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proizvodnih usluga -  održavanje softvera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42.000,00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46.767,02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111,35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662</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amortizacije</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51.000,00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40.909,08</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80,21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6620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amortizacije osnovnih sredstava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40.400,00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29.865,39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73,92</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6621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amortizacije nematerijalne imovine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8.600,00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7.812,33</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90,84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6620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amortizacije – ulaganje u tuđe nekretnine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3.231,36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161,57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664</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Nematerijalni troškovi (bez poreza i doprinosa)</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169.000,00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188.215,18</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111,37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konkursa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7</w:t>
            </w:r>
            <w:r>
              <w:rPr>
                <w:rFonts w:ascii="Calibri" w:hAnsi="Calibri"/>
                <w:color w:val="auto"/>
                <w:sz w:val="18"/>
                <w:szCs w:val="18"/>
                <w:lang w:val="sr-Cyrl-RS"/>
              </w:rPr>
              <w:t>.</w:t>
            </w:r>
            <w:r w:rsidRPr="004828F7">
              <w:rPr>
                <w:rFonts w:ascii="Calibri" w:hAnsi="Calibri"/>
                <w:color w:val="auto"/>
                <w:sz w:val="18"/>
                <w:szCs w:val="18"/>
              </w:rPr>
              <w:t>070,31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707,03</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66410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stručne literature – časopisi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1.200,00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683,00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56,92</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66411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 – usluge održavanja (osig.i video nadzor)</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1.420,90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71,05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66415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 – komunalne usluge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359,17</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89,79</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66416</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Trškovi provizija za upis obveznica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140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66417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revizije finansijskih izvještaja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7.000,00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6.903,00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98,61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66419</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troškovi-stručno usavršavanje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1563,4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notarskih usluga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1200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756,41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63,03</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66421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 – brokerske usluge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420,3</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14,01</w:t>
            </w:r>
          </w:p>
        </w:tc>
      </w:tr>
      <w:tr w:rsidR="005934B2" w:rsidRPr="004828F7" w:rsidTr="000366C5">
        <w:trPr>
          <w:trHeight w:val="690"/>
        </w:trPr>
        <w:tc>
          <w:tcPr>
            <w:tcW w:w="85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Konto</w:t>
            </w:r>
          </w:p>
        </w:tc>
        <w:tc>
          <w:tcPr>
            <w:tcW w:w="3969"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Naziv</w:t>
            </w:r>
          </w:p>
        </w:tc>
        <w:tc>
          <w:tcPr>
            <w:tcW w:w="1417"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Planirano u 2024. godini</w:t>
            </w:r>
          </w:p>
        </w:tc>
        <w:tc>
          <w:tcPr>
            <w:tcW w:w="1560"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Ostvareno u 2024. godini</w:t>
            </w:r>
          </w:p>
        </w:tc>
        <w:tc>
          <w:tcPr>
            <w:tcW w:w="992"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Indeks</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66423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troškovi-sistematski pregled zaposlenih</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5.942,50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118,85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66424</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 – naknada za pristup CRK</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B8692C" w:rsidRDefault="005934B2" w:rsidP="000366C5">
            <w:pPr>
              <w:jc w:val="right"/>
              <w:rPr>
                <w:rFonts w:ascii="Calibri" w:hAnsi="Calibri"/>
                <w:sz w:val="18"/>
                <w:szCs w:val="18"/>
                <w:lang w:val="sr-Cyrl-RS"/>
              </w:rPr>
            </w:pPr>
            <w:r w:rsidRPr="004828F7">
              <w:rPr>
                <w:rFonts w:ascii="Calibri" w:hAnsi="Calibri"/>
                <w:sz w:val="18"/>
                <w:szCs w:val="18"/>
              </w:rPr>
              <w:t>200</w:t>
            </w:r>
            <w:r>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lang w:val="sr-Cyrl-RS"/>
              </w:rPr>
            </w:pPr>
            <w:r w:rsidRPr="004828F7">
              <w:rPr>
                <w:rFonts w:ascii="Calibri" w:hAnsi="Calibri"/>
                <w:color w:val="auto"/>
                <w:sz w:val="18"/>
                <w:szCs w:val="18"/>
              </w:rPr>
              <w:t>0</w:t>
            </w:r>
            <w:r>
              <w:rPr>
                <w:rFonts w:ascii="Calibri" w:hAnsi="Calibri"/>
                <w:color w:val="auto"/>
                <w:sz w:val="18"/>
                <w:szCs w:val="18"/>
                <w:lang w:val="sr-Cyrl-RS"/>
              </w:rPr>
              <w:t>,00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66425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 – članarina AECM</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29.600,00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30.417,32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102,76</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66427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Nematerijalni troškovi -APIF</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B8692C" w:rsidRDefault="005934B2" w:rsidP="000366C5">
            <w:pPr>
              <w:jc w:val="right"/>
              <w:rPr>
                <w:rFonts w:ascii="Calibri" w:hAnsi="Calibri"/>
                <w:sz w:val="18"/>
                <w:szCs w:val="18"/>
                <w:lang w:val="sr-Cyrl-RS"/>
              </w:rPr>
            </w:pPr>
            <w:r w:rsidRPr="004828F7">
              <w:rPr>
                <w:rFonts w:ascii="Calibri" w:hAnsi="Calibri"/>
                <w:sz w:val="18"/>
                <w:szCs w:val="18"/>
              </w:rPr>
              <w:t>200</w:t>
            </w:r>
            <w:r>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215,4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107,70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66430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 – konferencijski i okrugli stolovi  GF po protokolu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6.844,50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1140,75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premije osiguranja radnika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B8692C" w:rsidRDefault="005934B2" w:rsidP="000366C5">
            <w:pPr>
              <w:jc w:val="right"/>
              <w:rPr>
                <w:rFonts w:ascii="Calibri" w:hAnsi="Calibri"/>
                <w:sz w:val="18"/>
                <w:szCs w:val="18"/>
                <w:lang w:val="sr-Cyrl-RS"/>
              </w:rPr>
            </w:pPr>
            <w:r w:rsidRPr="004828F7">
              <w:rPr>
                <w:rFonts w:ascii="Calibri" w:hAnsi="Calibri"/>
                <w:sz w:val="18"/>
                <w:szCs w:val="18"/>
              </w:rPr>
              <w:t>900</w:t>
            </w:r>
            <w:r>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1.394,09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154,90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66432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Nematerijalni troškovi- advokatske usluge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60.000,00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80.715,96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134,53</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66434</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Nematerijalni trošak (trošak predaje godišnjeg obračuna)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140,00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130,00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92,86</w:t>
            </w:r>
          </w:p>
        </w:tc>
      </w:tr>
      <w:tr w:rsidR="005934B2" w:rsidRPr="004828F7" w:rsidTr="000366C5">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66437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Nematerijali troškovi - uništavanje dokumentacije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Pr>
                <w:rFonts w:ascii="Calibri" w:hAnsi="Calibri"/>
                <w:sz w:val="18"/>
                <w:szCs w:val="18"/>
                <w:lang w:val="sr-Cyrl-RS"/>
              </w:rPr>
              <w:t>0,00</w:t>
            </w: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118,76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6644</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PTT usluga u zemlji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11.060,00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14.975,64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135,40</w:t>
            </w:r>
          </w:p>
        </w:tc>
      </w:tr>
      <w:tr w:rsidR="005934B2" w:rsidRPr="004828F7" w:rsidTr="000366C5">
        <w:trPr>
          <w:trHeight w:val="3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66445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Troškovi poklona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2.300,00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w:t>
            </w:r>
            <w:r>
              <w:rPr>
                <w:rFonts w:ascii="Calibri" w:hAnsi="Calibri"/>
                <w:color w:val="auto"/>
                <w:sz w:val="18"/>
                <w:szCs w:val="18"/>
              </w:rPr>
              <w:t>.</w:t>
            </w:r>
            <w:r w:rsidRPr="004828F7">
              <w:rPr>
                <w:rFonts w:ascii="Calibri" w:hAnsi="Calibri"/>
                <w:color w:val="auto"/>
                <w:sz w:val="18"/>
                <w:szCs w:val="18"/>
              </w:rPr>
              <w:t>380,79</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103,51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seminara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7.000,00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4.757,32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67,96</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platnog prometa - u domaćoj valuti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4.200,00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Pr>
                <w:rFonts w:ascii="Calibri" w:hAnsi="Calibri"/>
                <w:color w:val="auto"/>
                <w:sz w:val="18"/>
                <w:szCs w:val="18"/>
                <w:lang w:val="sr-Cyrl-RS"/>
              </w:rPr>
              <w:t>0,00</w:t>
            </w:r>
            <w:r w:rsidRPr="004828F7">
              <w:rPr>
                <w:rFonts w:ascii="Calibri" w:hAnsi="Calibri"/>
                <w:color w:val="auto"/>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6648</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PTT usluga prenosne pošiljke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1.663,42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83,17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66482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Troškovi uvođenja ISO 9001, i ISO 14001</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10.000,00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665</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Troškovi po osnovu poreza i doprinosa</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330,00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251,63</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76,25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6650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vodnog doprinosa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330,00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251,63</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76,25</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669</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Ostali troškovi</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123.000,00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97.431,88</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79,21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Ostali troškovi - troškovi zakupa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57.000,00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56.567,98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99,24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669010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registracije putničkog vozila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2.525,23</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84,17</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669011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održavanja putničkog vozila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6.630,00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3.977,64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59,99</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669013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Ostali vanredni rashodi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Pr>
                <w:rFonts w:ascii="Calibri" w:hAnsi="Calibri"/>
                <w:sz w:val="18"/>
                <w:szCs w:val="18"/>
                <w:lang w:val="sr-Cyrl-RS"/>
              </w:rPr>
              <w:t>0,00</w:t>
            </w: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4,28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taksa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35.000,00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5.696,74</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16,28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Ostali troškovi – novogodišnji paketići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1.000,00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1.280,00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128,00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66904</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 xml:space="preserve">Ostali troškovi-ostale isplate </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66905</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reklame i propagande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21.235,51</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424,71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color w:val="auto"/>
                <w:sz w:val="18"/>
                <w:szCs w:val="18"/>
              </w:rPr>
            </w:pPr>
            <w:r w:rsidRPr="004828F7">
              <w:rPr>
                <w:rFonts w:ascii="Calibri" w:hAnsi="Calibri"/>
                <w:color w:val="auto"/>
                <w:sz w:val="18"/>
                <w:szCs w:val="18"/>
              </w:rPr>
              <w:t>66906</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Ostali troškovi - troškovi grijanja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5.000,00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66907</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 utrošena električna energija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4.024,66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67,08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66908</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naknada za šume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B8692C" w:rsidRDefault="005934B2" w:rsidP="000366C5">
            <w:pPr>
              <w:jc w:val="right"/>
              <w:rPr>
                <w:rFonts w:ascii="Calibri" w:hAnsi="Calibri"/>
                <w:sz w:val="18"/>
                <w:szCs w:val="18"/>
                <w:lang w:val="sr-Cyrl-RS"/>
              </w:rPr>
            </w:pPr>
            <w:r w:rsidRPr="004828F7">
              <w:rPr>
                <w:rFonts w:ascii="Calibri" w:hAnsi="Calibri"/>
                <w:sz w:val="18"/>
                <w:szCs w:val="18"/>
              </w:rPr>
              <w:t>650</w:t>
            </w:r>
            <w:r>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1169,26</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179,89</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66909</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Troškovi protivpožarne naknade po godišnjem obračunu</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B8692C" w:rsidRDefault="005934B2" w:rsidP="000366C5">
            <w:pPr>
              <w:jc w:val="right"/>
              <w:rPr>
                <w:rFonts w:ascii="Calibri" w:hAnsi="Calibri"/>
                <w:sz w:val="18"/>
                <w:szCs w:val="18"/>
                <w:lang w:val="sr-Cyrl-RS"/>
              </w:rPr>
            </w:pPr>
            <w:r w:rsidRPr="004828F7">
              <w:rPr>
                <w:rFonts w:ascii="Calibri" w:hAnsi="Calibri"/>
                <w:sz w:val="18"/>
                <w:szCs w:val="18"/>
              </w:rPr>
              <w:t>220</w:t>
            </w:r>
            <w:r>
              <w:rPr>
                <w:rFonts w:ascii="Calibri" w:hAnsi="Calibri"/>
                <w:sz w:val="18"/>
                <w:szCs w:val="18"/>
                <w:lang w:val="sr-Cyrl-RS"/>
              </w:rPr>
              <w:t>,00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500,58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227,54</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66916</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Ostali troškovi - Donacije</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3.500,00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400,00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11,43</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67</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Ostali rashodi</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13.000,00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946,50</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7,28</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6701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Rashodi po osnovu otpisa premije za rizik</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6.000,00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67102</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Gubici po osnovu otpisa osnovnih sredstava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Pr>
                <w:rFonts w:ascii="Calibri" w:hAnsi="Calibri"/>
                <w:sz w:val="18"/>
                <w:szCs w:val="18"/>
                <w:lang w:val="sr-Cyrl-RS"/>
              </w:rPr>
              <w:t>0,00</w:t>
            </w:r>
            <w:r w:rsidRPr="004828F7">
              <w:rPr>
                <w:rFonts w:ascii="Calibri" w:hAnsi="Calibri"/>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769,98</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6720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Auto gume u upotrebi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3.000,00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0,00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0,00</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67901</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Ostali rashodi</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4.000,00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176,52</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4,41</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67903</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Ispravka grešaka iz ranijih godina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169,65</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000000" w:fill="C5D9F1"/>
            <w:noWrap/>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680</w:t>
            </w:r>
          </w:p>
        </w:tc>
        <w:tc>
          <w:tcPr>
            <w:tcW w:w="3969" w:type="dxa"/>
            <w:tcBorders>
              <w:top w:val="nil"/>
              <w:left w:val="nil"/>
              <w:bottom w:val="single" w:sz="4" w:space="0" w:color="auto"/>
              <w:right w:val="single" w:sz="4" w:space="0" w:color="auto"/>
            </w:tcBorders>
            <w:shd w:val="clear" w:color="000000" w:fill="C5D9F1"/>
            <w:vAlign w:val="center"/>
            <w:hideMark/>
          </w:tcPr>
          <w:p w:rsidR="005934B2" w:rsidRPr="004828F7" w:rsidRDefault="005934B2" w:rsidP="000366C5">
            <w:pPr>
              <w:jc w:val="left"/>
              <w:rPr>
                <w:rFonts w:ascii="Calibri" w:hAnsi="Calibri"/>
                <w:b/>
                <w:bCs/>
                <w:sz w:val="18"/>
                <w:szCs w:val="18"/>
              </w:rPr>
            </w:pPr>
            <w:r w:rsidRPr="004828F7">
              <w:rPr>
                <w:rFonts w:ascii="Calibri" w:hAnsi="Calibri"/>
                <w:b/>
                <w:bCs/>
                <w:sz w:val="18"/>
                <w:szCs w:val="18"/>
              </w:rPr>
              <w:t>Negativne kursne razlike</w:t>
            </w:r>
          </w:p>
        </w:tc>
        <w:tc>
          <w:tcPr>
            <w:tcW w:w="1417" w:type="dxa"/>
            <w:tcBorders>
              <w:top w:val="nil"/>
              <w:left w:val="nil"/>
              <w:bottom w:val="single" w:sz="4" w:space="0" w:color="auto"/>
              <w:right w:val="single" w:sz="4" w:space="0" w:color="auto"/>
            </w:tcBorders>
            <w:shd w:val="clear" w:color="000000" w:fill="C5D9F1"/>
            <w:noWrap/>
            <w:vAlign w:val="center"/>
            <w:hideMark/>
          </w:tcPr>
          <w:p w:rsidR="005934B2" w:rsidRPr="00B8692C" w:rsidRDefault="005934B2" w:rsidP="000366C5">
            <w:pPr>
              <w:jc w:val="right"/>
              <w:rPr>
                <w:rFonts w:ascii="Calibri" w:hAnsi="Calibri"/>
                <w:b/>
                <w:bCs/>
                <w:color w:val="auto"/>
                <w:sz w:val="18"/>
                <w:szCs w:val="18"/>
                <w:lang w:val="sr-Cyrl-RS"/>
              </w:rPr>
            </w:pPr>
            <w:r w:rsidRPr="004828F7">
              <w:rPr>
                <w:rFonts w:ascii="Calibri" w:hAnsi="Calibri"/>
                <w:b/>
                <w:bCs/>
                <w:color w:val="auto"/>
                <w:sz w:val="18"/>
                <w:szCs w:val="18"/>
              </w:rPr>
              <w:t>0</w:t>
            </w:r>
            <w:r>
              <w:rPr>
                <w:rFonts w:ascii="Calibri" w:hAnsi="Calibri"/>
                <w:b/>
                <w:bCs/>
                <w:color w:val="auto"/>
                <w:sz w:val="18"/>
                <w:szCs w:val="18"/>
                <w:lang w:val="sr-Cyrl-RS"/>
              </w:rPr>
              <w:t>,00</w:t>
            </w:r>
          </w:p>
        </w:tc>
        <w:tc>
          <w:tcPr>
            <w:tcW w:w="1560"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right"/>
              <w:rPr>
                <w:rFonts w:ascii="Calibri" w:hAnsi="Calibri"/>
                <w:b/>
                <w:bCs/>
                <w:color w:val="auto"/>
                <w:sz w:val="18"/>
                <w:szCs w:val="18"/>
              </w:rPr>
            </w:pPr>
            <w:r w:rsidRPr="004828F7">
              <w:rPr>
                <w:rFonts w:ascii="Calibri" w:hAnsi="Calibri"/>
                <w:b/>
                <w:bCs/>
                <w:color w:val="auto"/>
                <w:sz w:val="18"/>
                <w:szCs w:val="18"/>
              </w:rPr>
              <w:t>9,10</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 </w:t>
            </w:r>
          </w:p>
        </w:tc>
      </w:tr>
      <w:tr w:rsidR="005934B2" w:rsidRPr="004828F7" w:rsidTr="000366C5">
        <w:trPr>
          <w:trHeight w:val="24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6800</w:t>
            </w:r>
          </w:p>
        </w:tc>
        <w:tc>
          <w:tcPr>
            <w:tcW w:w="3969" w:type="dxa"/>
            <w:tcBorders>
              <w:top w:val="nil"/>
              <w:left w:val="nil"/>
              <w:bottom w:val="single" w:sz="4" w:space="0" w:color="auto"/>
              <w:right w:val="single" w:sz="4" w:space="0" w:color="auto"/>
            </w:tcBorders>
            <w:shd w:val="clear" w:color="auto" w:fill="auto"/>
            <w:vAlign w:val="center"/>
            <w:hideMark/>
          </w:tcPr>
          <w:p w:rsidR="005934B2" w:rsidRPr="004828F7" w:rsidRDefault="005934B2" w:rsidP="000366C5">
            <w:pPr>
              <w:jc w:val="left"/>
              <w:rPr>
                <w:rFonts w:ascii="Calibri" w:hAnsi="Calibri"/>
                <w:sz w:val="18"/>
                <w:szCs w:val="18"/>
              </w:rPr>
            </w:pPr>
            <w:r w:rsidRPr="004828F7">
              <w:rPr>
                <w:rFonts w:ascii="Calibri" w:hAnsi="Calibri"/>
                <w:sz w:val="18"/>
                <w:szCs w:val="18"/>
              </w:rPr>
              <w:t>Rashodi po osnovu negativnih kursnih razlika</w:t>
            </w:r>
          </w:p>
        </w:tc>
        <w:tc>
          <w:tcPr>
            <w:tcW w:w="1417"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sz w:val="18"/>
                <w:szCs w:val="18"/>
              </w:rPr>
            </w:pPr>
            <w:r w:rsidRPr="004828F7">
              <w:rPr>
                <w:rFonts w:ascii="Calibri" w:hAnsi="Calibri"/>
                <w:sz w:val="18"/>
                <w:szCs w:val="18"/>
              </w:rPr>
              <w:t>0,00</w:t>
            </w:r>
          </w:p>
        </w:tc>
        <w:tc>
          <w:tcPr>
            <w:tcW w:w="1560"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right"/>
              <w:rPr>
                <w:rFonts w:ascii="Calibri" w:hAnsi="Calibri"/>
                <w:color w:val="auto"/>
                <w:sz w:val="18"/>
                <w:szCs w:val="18"/>
              </w:rPr>
            </w:pPr>
            <w:r w:rsidRPr="004828F7">
              <w:rPr>
                <w:rFonts w:ascii="Calibri" w:hAnsi="Calibri"/>
                <w:color w:val="auto"/>
                <w:sz w:val="18"/>
                <w:szCs w:val="18"/>
              </w:rPr>
              <w:t>9,10</w:t>
            </w:r>
          </w:p>
        </w:tc>
        <w:tc>
          <w:tcPr>
            <w:tcW w:w="992" w:type="dxa"/>
            <w:tcBorders>
              <w:top w:val="nil"/>
              <w:left w:val="nil"/>
              <w:bottom w:val="single" w:sz="4" w:space="0" w:color="auto"/>
              <w:right w:val="single" w:sz="4" w:space="0" w:color="auto"/>
            </w:tcBorders>
            <w:shd w:val="clear" w:color="auto" w:fill="auto"/>
            <w:noWrap/>
            <w:vAlign w:val="center"/>
            <w:hideMark/>
          </w:tcPr>
          <w:p w:rsidR="005934B2" w:rsidRPr="004828F7" w:rsidRDefault="005934B2" w:rsidP="000366C5">
            <w:pPr>
              <w:jc w:val="center"/>
              <w:rPr>
                <w:rFonts w:ascii="Calibri" w:hAnsi="Calibri"/>
                <w:sz w:val="18"/>
                <w:szCs w:val="18"/>
              </w:rPr>
            </w:pPr>
            <w:r w:rsidRPr="004828F7">
              <w:rPr>
                <w:rFonts w:ascii="Calibri" w:hAnsi="Calibri"/>
                <w:sz w:val="18"/>
                <w:szCs w:val="18"/>
              </w:rPr>
              <w:t> </w:t>
            </w:r>
          </w:p>
        </w:tc>
      </w:tr>
      <w:tr w:rsidR="005934B2" w:rsidRPr="004828F7" w:rsidTr="000366C5">
        <w:trPr>
          <w:trHeight w:val="440"/>
        </w:trPr>
        <w:tc>
          <w:tcPr>
            <w:tcW w:w="4820"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Ukupno troškovi</w:t>
            </w:r>
          </w:p>
        </w:tc>
        <w:tc>
          <w:tcPr>
            <w:tcW w:w="1417" w:type="dxa"/>
            <w:tcBorders>
              <w:top w:val="nil"/>
              <w:left w:val="nil"/>
              <w:bottom w:val="single" w:sz="4" w:space="0" w:color="auto"/>
              <w:right w:val="single" w:sz="4" w:space="0" w:color="auto"/>
            </w:tcBorders>
            <w:shd w:val="clear" w:color="000000" w:fill="8DB4E2"/>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2.190.133,00</w:t>
            </w:r>
          </w:p>
        </w:tc>
        <w:tc>
          <w:tcPr>
            <w:tcW w:w="1560" w:type="dxa"/>
            <w:tcBorders>
              <w:top w:val="nil"/>
              <w:left w:val="nil"/>
              <w:bottom w:val="single" w:sz="4" w:space="0" w:color="auto"/>
              <w:right w:val="single" w:sz="4" w:space="0" w:color="auto"/>
            </w:tcBorders>
            <w:shd w:val="clear" w:color="000000" w:fill="8DB4E2"/>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1.835.519,90</w:t>
            </w:r>
          </w:p>
        </w:tc>
        <w:tc>
          <w:tcPr>
            <w:tcW w:w="992" w:type="dxa"/>
            <w:tcBorders>
              <w:top w:val="nil"/>
              <w:left w:val="nil"/>
              <w:bottom w:val="single" w:sz="4" w:space="0" w:color="auto"/>
              <w:right w:val="single" w:sz="4" w:space="0" w:color="auto"/>
            </w:tcBorders>
            <w:shd w:val="clear" w:color="auto" w:fill="8DB3E2" w:themeFill="text2" w:themeFillTint="66"/>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83,81</w:t>
            </w:r>
          </w:p>
        </w:tc>
      </w:tr>
      <w:tr w:rsidR="005934B2" w:rsidRPr="004828F7" w:rsidTr="000366C5">
        <w:trPr>
          <w:trHeight w:val="405"/>
        </w:trPr>
        <w:tc>
          <w:tcPr>
            <w:tcW w:w="4820"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UKUPNO RASHODI</w:t>
            </w:r>
          </w:p>
        </w:tc>
        <w:tc>
          <w:tcPr>
            <w:tcW w:w="1417" w:type="dxa"/>
            <w:tcBorders>
              <w:top w:val="nil"/>
              <w:left w:val="nil"/>
              <w:bottom w:val="single" w:sz="4" w:space="0" w:color="auto"/>
              <w:right w:val="single" w:sz="4" w:space="0" w:color="auto"/>
            </w:tcBorders>
            <w:shd w:val="clear" w:color="000000" w:fill="8DB4E2"/>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2.419.133,00</w:t>
            </w:r>
          </w:p>
        </w:tc>
        <w:tc>
          <w:tcPr>
            <w:tcW w:w="1560" w:type="dxa"/>
            <w:tcBorders>
              <w:top w:val="nil"/>
              <w:left w:val="nil"/>
              <w:bottom w:val="single" w:sz="4" w:space="0" w:color="auto"/>
              <w:right w:val="single" w:sz="4" w:space="0" w:color="auto"/>
            </w:tcBorders>
            <w:shd w:val="clear" w:color="000000" w:fill="8DB4E2"/>
            <w:noWrap/>
            <w:vAlign w:val="center"/>
            <w:hideMark/>
          </w:tcPr>
          <w:p w:rsidR="005934B2" w:rsidRPr="004828F7" w:rsidRDefault="005934B2" w:rsidP="000366C5">
            <w:pPr>
              <w:jc w:val="right"/>
              <w:rPr>
                <w:rFonts w:ascii="Calibri" w:hAnsi="Calibri"/>
                <w:b/>
                <w:bCs/>
                <w:sz w:val="18"/>
                <w:szCs w:val="18"/>
              </w:rPr>
            </w:pPr>
            <w:r w:rsidRPr="004828F7">
              <w:rPr>
                <w:rFonts w:ascii="Calibri" w:hAnsi="Calibri"/>
                <w:b/>
                <w:bCs/>
                <w:sz w:val="18"/>
                <w:szCs w:val="18"/>
              </w:rPr>
              <w:t>2.656.957,48</w:t>
            </w:r>
          </w:p>
        </w:tc>
        <w:tc>
          <w:tcPr>
            <w:tcW w:w="992" w:type="dxa"/>
            <w:tcBorders>
              <w:top w:val="nil"/>
              <w:left w:val="nil"/>
              <w:bottom w:val="single" w:sz="4" w:space="0" w:color="auto"/>
              <w:right w:val="single" w:sz="4" w:space="0" w:color="auto"/>
            </w:tcBorders>
            <w:shd w:val="clear" w:color="auto" w:fill="8DB3E2" w:themeFill="text2" w:themeFillTint="66"/>
            <w:noWrap/>
            <w:vAlign w:val="center"/>
            <w:hideMark/>
          </w:tcPr>
          <w:p w:rsidR="005934B2" w:rsidRPr="004828F7" w:rsidRDefault="005934B2" w:rsidP="000366C5">
            <w:pPr>
              <w:jc w:val="center"/>
              <w:rPr>
                <w:rFonts w:ascii="Calibri" w:hAnsi="Calibri"/>
                <w:b/>
                <w:bCs/>
                <w:sz w:val="18"/>
                <w:szCs w:val="18"/>
              </w:rPr>
            </w:pPr>
            <w:r w:rsidRPr="004828F7">
              <w:rPr>
                <w:rFonts w:ascii="Calibri" w:hAnsi="Calibri"/>
                <w:b/>
                <w:bCs/>
                <w:sz w:val="18"/>
                <w:szCs w:val="18"/>
              </w:rPr>
              <w:t>109,83</w:t>
            </w:r>
          </w:p>
        </w:tc>
      </w:tr>
    </w:tbl>
    <w:p w:rsidR="005934B2" w:rsidRDefault="005934B2" w:rsidP="00A401F8">
      <w:pPr>
        <w:rPr>
          <w:rFonts w:asciiTheme="minorHAnsi" w:hAnsiTheme="minorHAnsi"/>
          <w:color w:val="000000" w:themeColor="text1"/>
          <w:sz w:val="20"/>
          <w:szCs w:val="20"/>
          <w:lang w:val="sr-Cyrl-CS" w:eastAsia="sr-Cyrl-CS"/>
        </w:rPr>
      </w:pPr>
    </w:p>
    <w:p w:rsidR="005934B2" w:rsidRDefault="005934B2" w:rsidP="00A401F8">
      <w:pPr>
        <w:rPr>
          <w:rFonts w:asciiTheme="minorHAnsi" w:hAnsiTheme="minorHAnsi"/>
          <w:color w:val="000000" w:themeColor="text1"/>
          <w:sz w:val="20"/>
          <w:szCs w:val="20"/>
          <w:lang w:val="sr-Cyrl-CS" w:eastAsia="sr-Cyrl-CS"/>
        </w:rPr>
      </w:pPr>
      <w:r w:rsidRPr="00B8692C">
        <w:rPr>
          <w:rFonts w:asciiTheme="minorHAnsi" w:hAnsiTheme="minorHAnsi"/>
          <w:color w:val="000000" w:themeColor="text1"/>
          <w:sz w:val="20"/>
          <w:szCs w:val="20"/>
          <w:lang w:val="sr-Cyrl-CS" w:eastAsia="sr-Cyrl-CS"/>
        </w:rPr>
        <w:t xml:space="preserve">U 2024. godini Fond je ostvario troškove poslovanja u iznosu od 1.835.519,90 KM, dok su ukupni rashodi iznosili 2.656.957,48 KM. </w:t>
      </w:r>
      <w:r>
        <w:rPr>
          <w:rFonts w:asciiTheme="minorHAnsi" w:hAnsiTheme="minorHAnsi"/>
          <w:color w:val="000000" w:themeColor="text1"/>
          <w:sz w:val="20"/>
          <w:szCs w:val="20"/>
          <w:lang w:val="sr-Cyrl-CS" w:eastAsia="sr-Cyrl-CS"/>
        </w:rPr>
        <w:t>Troškovi poslovanja u posmatranoj godini su manji za 6,60% u odnosu na troškove poslovanja u 2023. godini, a u odnosu na plan za 16,69%. Ako posmatramo ukupne ostvarene rashode, oni su manji u odnosu na prethodnu godinu za 13,23%, dok je ostvarenje u odnosu na plan za 2024. godinu veće za 9,83%.</w:t>
      </w:r>
    </w:p>
    <w:p w:rsidR="005934B2" w:rsidRPr="00C765E8"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000000" w:themeColor="text1"/>
          <w:sz w:val="20"/>
          <w:szCs w:val="20"/>
          <w:lang w:val="sr-Cyrl-CS" w:eastAsia="sr-Cyrl-CS"/>
        </w:rPr>
      </w:pPr>
      <w:r w:rsidRPr="000274B1">
        <w:rPr>
          <w:rFonts w:asciiTheme="minorHAnsi" w:hAnsiTheme="minorHAnsi"/>
          <w:color w:val="000000" w:themeColor="text1"/>
          <w:sz w:val="20"/>
          <w:szCs w:val="20"/>
          <w:lang w:val="sr-Cyrl-CS" w:eastAsia="sr-Cyrl-CS"/>
        </w:rPr>
        <w:t xml:space="preserve">Razliku u iznosu od </w:t>
      </w:r>
      <w:r>
        <w:rPr>
          <w:rFonts w:asciiTheme="minorHAnsi" w:hAnsiTheme="minorHAnsi"/>
          <w:color w:val="000000" w:themeColor="text1"/>
          <w:sz w:val="20"/>
          <w:szCs w:val="20"/>
          <w:lang w:val="sr-Cyrl-CS" w:eastAsia="sr-Cyrl-CS"/>
        </w:rPr>
        <w:t>821.4</w:t>
      </w:r>
      <w:r w:rsidRPr="000274B1">
        <w:rPr>
          <w:rFonts w:asciiTheme="minorHAnsi" w:hAnsiTheme="minorHAnsi"/>
          <w:color w:val="000000" w:themeColor="text1"/>
          <w:sz w:val="20"/>
          <w:szCs w:val="20"/>
          <w:lang w:val="sr-Cyrl-CS" w:eastAsia="sr-Cyrl-CS"/>
        </w:rPr>
        <w:t xml:space="preserve">37,58 KM između ostvarenih troškova poslovanja i ukupnih rashoda čine stavke rashode koje </w:t>
      </w:r>
      <w:r>
        <w:rPr>
          <w:rFonts w:asciiTheme="minorHAnsi" w:hAnsiTheme="minorHAnsi"/>
          <w:color w:val="000000" w:themeColor="text1"/>
          <w:sz w:val="20"/>
          <w:szCs w:val="20"/>
          <w:lang w:val="sr-Cyrl-CS" w:eastAsia="sr-Cyrl-CS"/>
        </w:rPr>
        <w:t xml:space="preserve">su znatno veće u odnosu na plan </w:t>
      </w:r>
      <w:r w:rsidRPr="000274B1">
        <w:rPr>
          <w:rFonts w:asciiTheme="minorHAnsi" w:hAnsiTheme="minorHAnsi"/>
          <w:color w:val="000000" w:themeColor="text1"/>
          <w:sz w:val="20"/>
          <w:szCs w:val="20"/>
          <w:lang w:val="sr-Cyrl-CS" w:eastAsia="sr-Cyrl-CS"/>
        </w:rPr>
        <w:t xml:space="preserve">jer </w:t>
      </w:r>
      <w:r>
        <w:rPr>
          <w:rFonts w:asciiTheme="minorHAnsi" w:hAnsiTheme="minorHAnsi"/>
          <w:color w:val="000000" w:themeColor="text1"/>
          <w:sz w:val="20"/>
          <w:szCs w:val="20"/>
          <w:lang w:val="sr-Cyrl-CS" w:eastAsia="sr-Cyrl-CS"/>
        </w:rPr>
        <w:t>u</w:t>
      </w:r>
      <w:r w:rsidRPr="000274B1">
        <w:rPr>
          <w:rFonts w:asciiTheme="minorHAnsi" w:hAnsiTheme="minorHAnsi"/>
          <w:color w:val="000000" w:themeColor="text1"/>
          <w:sz w:val="20"/>
          <w:szCs w:val="20"/>
          <w:lang w:val="sr-Cyrl-CS" w:eastAsia="sr-Cyrl-CS"/>
        </w:rPr>
        <w:t xml:space="preserve"> momentu sačinjavanja plana njih</w:t>
      </w:r>
      <w:r>
        <w:rPr>
          <w:rFonts w:asciiTheme="minorHAnsi" w:hAnsiTheme="minorHAnsi"/>
          <w:color w:val="000000" w:themeColor="text1"/>
          <w:sz w:val="20"/>
          <w:szCs w:val="20"/>
          <w:lang w:val="sr-Cyrl-CS" w:eastAsia="sr-Cyrl-CS"/>
        </w:rPr>
        <w:t>ovo ostvarenje nije bilo izvjesno ili se zbog drugih faktora nisu mogli adekvatno planirati</w:t>
      </w:r>
      <w:r w:rsidRPr="000274B1">
        <w:rPr>
          <w:rFonts w:asciiTheme="minorHAnsi" w:hAnsiTheme="minorHAnsi"/>
          <w:color w:val="000000" w:themeColor="text1"/>
          <w:sz w:val="20"/>
          <w:szCs w:val="20"/>
          <w:lang w:val="sr-Cyrl-CS" w:eastAsia="sr-Cyrl-CS"/>
        </w:rPr>
        <w:t>.</w:t>
      </w:r>
      <w:r>
        <w:rPr>
          <w:rFonts w:asciiTheme="minorHAnsi" w:hAnsiTheme="minorHAnsi"/>
          <w:color w:val="000000" w:themeColor="text1"/>
          <w:sz w:val="20"/>
          <w:szCs w:val="20"/>
          <w:lang w:val="sr-Cyrl-CS" w:eastAsia="sr-Cyrl-CS"/>
        </w:rPr>
        <w:t xml:space="preserve"> Prvenstveno se misli na gubitke po osnovu prodaje sredstava namijenjenih </w:t>
      </w:r>
      <w:r w:rsidRPr="000274B1">
        <w:rPr>
          <w:rFonts w:asciiTheme="minorHAnsi" w:hAnsiTheme="minorHAnsi"/>
          <w:color w:val="000000" w:themeColor="text1"/>
          <w:sz w:val="20"/>
          <w:szCs w:val="20"/>
          <w:lang w:val="sr-Cyrl-CS" w:eastAsia="sr-Cyrl-CS"/>
        </w:rPr>
        <w:t xml:space="preserve">prodaji, rashode kamata i naknada, te gubitke po osnovu prestanka priznavanja finansijskih sredstava, </w:t>
      </w:r>
      <w:r>
        <w:rPr>
          <w:rFonts w:asciiTheme="minorHAnsi" w:hAnsiTheme="minorHAnsi"/>
          <w:color w:val="000000" w:themeColor="text1"/>
          <w:sz w:val="20"/>
          <w:szCs w:val="20"/>
          <w:lang w:val="sr-Cyrl-CS" w:eastAsia="sr-Cyrl-CS"/>
        </w:rPr>
        <w:t>odnosno</w:t>
      </w:r>
      <w:r w:rsidRPr="000274B1">
        <w:rPr>
          <w:rFonts w:asciiTheme="minorHAnsi" w:hAnsiTheme="minorHAnsi"/>
          <w:color w:val="000000" w:themeColor="text1"/>
          <w:sz w:val="20"/>
          <w:szCs w:val="20"/>
          <w:lang w:val="sr-Cyrl-CS" w:eastAsia="sr-Cyrl-CS"/>
        </w:rPr>
        <w:t xml:space="preserve"> gubitke po osnovu usklađivanja hartija koje su kupljene po većoj vrijednosti od nominalne. </w:t>
      </w:r>
    </w:p>
    <w:p w:rsidR="005934B2" w:rsidRDefault="005934B2" w:rsidP="00A401F8">
      <w:pPr>
        <w:rPr>
          <w:rFonts w:asciiTheme="minorHAnsi" w:hAnsiTheme="minorHAnsi"/>
          <w:color w:val="000000" w:themeColor="text1"/>
          <w:sz w:val="20"/>
          <w:szCs w:val="20"/>
          <w:lang w:val="sr-Cyrl-CS" w:eastAsia="sr-Cyrl-CS"/>
        </w:rPr>
      </w:pPr>
    </w:p>
    <w:p w:rsidR="005934B2" w:rsidRDefault="005934B2" w:rsidP="00A401F8">
      <w:pPr>
        <w:rPr>
          <w:rFonts w:asciiTheme="minorHAnsi" w:hAnsiTheme="minorHAnsi"/>
          <w:color w:val="000000" w:themeColor="text1"/>
          <w:sz w:val="20"/>
          <w:szCs w:val="20"/>
          <w:lang w:val="sr-Cyrl-CS" w:eastAsia="sr-Cyrl-CS"/>
        </w:rPr>
      </w:pPr>
      <w:r w:rsidRPr="00C765E8">
        <w:rPr>
          <w:rFonts w:asciiTheme="minorHAnsi" w:hAnsiTheme="minorHAnsi"/>
          <w:b/>
          <w:color w:val="000000" w:themeColor="text1"/>
          <w:sz w:val="20"/>
          <w:szCs w:val="20"/>
          <w:lang w:val="sr-Cyrl-CS" w:eastAsia="sr-Cyrl-CS"/>
        </w:rPr>
        <w:t>Rashodi indirektnih otpisa plasmana</w:t>
      </w:r>
      <w:r>
        <w:rPr>
          <w:rFonts w:asciiTheme="minorHAnsi" w:hAnsiTheme="minorHAnsi"/>
          <w:color w:val="000000" w:themeColor="text1"/>
          <w:sz w:val="20"/>
          <w:szCs w:val="20"/>
          <w:lang w:val="sr-Cyrl-CS" w:eastAsia="sr-Cyrl-CS"/>
        </w:rPr>
        <w:t xml:space="preserve"> takođe pokazuju značajno odstupanje u odnosu na plan. Ova stavka se odnosi na potraživanja od Bobar banke-u likvidaciji, čija je vrijednost utvrđena procjenom nezavisnog procjenitelja, a koju Fond nije mogao predvidjeti u trenutku planiranja. Vrijednost potraživanja od ove banke je smanjena za za 178.723,98 KM, a smanjenje je knjiženo na teret rashoda perioda.</w:t>
      </w:r>
    </w:p>
    <w:p w:rsidR="005934B2" w:rsidRPr="000274B1" w:rsidRDefault="005934B2" w:rsidP="00A401F8">
      <w:pPr>
        <w:rPr>
          <w:rFonts w:asciiTheme="minorHAnsi" w:hAnsiTheme="minorHAnsi"/>
          <w:color w:val="000000" w:themeColor="text1"/>
          <w:sz w:val="20"/>
          <w:szCs w:val="20"/>
          <w:lang w:val="sr-Cyrl-CS" w:eastAsia="sr-Cyrl-CS"/>
        </w:rPr>
      </w:pPr>
    </w:p>
    <w:p w:rsidR="005934B2" w:rsidRDefault="005934B2" w:rsidP="00A401F8">
      <w:pPr>
        <w:rPr>
          <w:rFonts w:asciiTheme="minorHAnsi" w:hAnsiTheme="minorHAnsi"/>
          <w:color w:val="000000" w:themeColor="text1"/>
          <w:sz w:val="20"/>
          <w:szCs w:val="20"/>
          <w:lang w:val="sr-Cyrl-CS" w:eastAsia="sr-Cyrl-CS"/>
        </w:rPr>
      </w:pPr>
      <w:r w:rsidRPr="00C765E8">
        <w:rPr>
          <w:rFonts w:asciiTheme="minorHAnsi" w:hAnsiTheme="minorHAnsi"/>
          <w:b/>
          <w:color w:val="000000" w:themeColor="text1"/>
          <w:sz w:val="20"/>
          <w:szCs w:val="20"/>
          <w:lang w:val="sr-Cyrl-CS" w:eastAsia="sr-Cyrl-CS"/>
        </w:rPr>
        <w:t xml:space="preserve">Rashodi rezervisanja </w:t>
      </w:r>
      <w:r w:rsidRPr="00C765E8">
        <w:rPr>
          <w:rFonts w:asciiTheme="minorHAnsi" w:hAnsiTheme="minorHAnsi"/>
          <w:b/>
          <w:color w:val="000000" w:themeColor="text1"/>
          <w:sz w:val="20"/>
          <w:szCs w:val="20"/>
          <w:lang w:val="sr-Cyrl-BA" w:eastAsia="sr-Latn-RS"/>
        </w:rPr>
        <w:t xml:space="preserve">po vanbilansnoj aktivi </w:t>
      </w:r>
      <w:r w:rsidRPr="00B50FBE">
        <w:rPr>
          <w:rFonts w:asciiTheme="minorHAnsi" w:hAnsiTheme="minorHAnsi"/>
          <w:color w:val="000000" w:themeColor="text1"/>
          <w:sz w:val="20"/>
          <w:szCs w:val="20"/>
          <w:lang w:val="sr-Cyrl-BA" w:eastAsia="sr-Latn-RS"/>
        </w:rPr>
        <w:t>u 2024. godini iznose 360.288,35</w:t>
      </w:r>
      <w:r>
        <w:rPr>
          <w:rFonts w:asciiTheme="minorHAnsi" w:hAnsiTheme="minorHAnsi"/>
          <w:color w:val="000000" w:themeColor="text1"/>
          <w:sz w:val="20"/>
          <w:szCs w:val="20"/>
          <w:lang w:val="sr-Cyrl-BA" w:eastAsia="sr-Latn-RS"/>
        </w:rPr>
        <w:t xml:space="preserve"> KM i veći</w:t>
      </w:r>
      <w:r w:rsidRPr="00B50FBE">
        <w:rPr>
          <w:rFonts w:asciiTheme="minorHAnsi" w:hAnsiTheme="minorHAnsi"/>
          <w:color w:val="000000" w:themeColor="text1"/>
          <w:sz w:val="20"/>
          <w:szCs w:val="20"/>
          <w:lang w:val="sr-Cyrl-BA" w:eastAsia="sr-Latn-RS"/>
        </w:rPr>
        <w:t xml:space="preserve"> su za 80% u odnosu na plan, odnosno 160.288,35 u apsolutnom iznosu.</w:t>
      </w:r>
      <w:r w:rsidRPr="00B50FBE">
        <w:rPr>
          <w:rFonts w:asciiTheme="minorHAnsi" w:hAnsiTheme="minorHAnsi"/>
          <w:color w:val="000000" w:themeColor="text1"/>
          <w:sz w:val="20"/>
          <w:szCs w:val="20"/>
          <w:lang w:val="sr-Cyrl-CS" w:eastAsia="sr-Cyrl-CS"/>
        </w:rPr>
        <w:t xml:space="preserve"> Uzrok značajnog odstupanja od planiranog iznosa je pogoršanje finansijske pozicije i neuredno izmirenje obaveza određenog broja  klijenata u toku godine, zbog čega su izvršena rezervisanja za pokriće gubita</w:t>
      </w:r>
      <w:r>
        <w:rPr>
          <w:rFonts w:asciiTheme="minorHAnsi" w:hAnsiTheme="minorHAnsi"/>
          <w:color w:val="000000" w:themeColor="text1"/>
          <w:sz w:val="20"/>
          <w:szCs w:val="20"/>
          <w:lang w:val="sr-Cyrl-CS" w:eastAsia="sr-Cyrl-CS"/>
        </w:rPr>
        <w:t xml:space="preserve">ka </w:t>
      </w:r>
      <w:r w:rsidRPr="00B50FBE">
        <w:rPr>
          <w:rFonts w:asciiTheme="minorHAnsi" w:hAnsiTheme="minorHAnsi"/>
          <w:color w:val="000000" w:themeColor="text1"/>
          <w:sz w:val="20"/>
          <w:szCs w:val="20"/>
          <w:lang w:val="sr-Cyrl-CS" w:eastAsia="sr-Cyrl-CS"/>
        </w:rPr>
        <w:t xml:space="preserve"> u skladu sa MSFI 9. </w:t>
      </w:r>
    </w:p>
    <w:p w:rsidR="005934B2" w:rsidRDefault="005934B2" w:rsidP="00A401F8">
      <w:pPr>
        <w:rPr>
          <w:rFonts w:asciiTheme="minorHAnsi" w:hAnsiTheme="minorHAnsi"/>
          <w:b/>
          <w:color w:val="FF0000"/>
          <w:sz w:val="20"/>
          <w:szCs w:val="20"/>
          <w:lang w:val="sr-Cyrl-CS" w:eastAsia="sr-Cyrl-CS"/>
        </w:rPr>
      </w:pPr>
    </w:p>
    <w:p w:rsidR="005934B2" w:rsidRPr="00C765E8" w:rsidRDefault="005934B2" w:rsidP="00A401F8">
      <w:pPr>
        <w:rPr>
          <w:rFonts w:asciiTheme="minorHAnsi" w:hAnsiTheme="minorHAnsi"/>
          <w:color w:val="auto"/>
          <w:sz w:val="20"/>
          <w:szCs w:val="20"/>
          <w:lang w:val="sr-Cyrl-BA" w:eastAsia="sr-Cyrl-CS"/>
        </w:rPr>
      </w:pPr>
      <w:r w:rsidRPr="00C765E8">
        <w:rPr>
          <w:rFonts w:asciiTheme="minorHAnsi" w:hAnsiTheme="minorHAnsi"/>
          <w:color w:val="auto"/>
          <w:sz w:val="20"/>
          <w:szCs w:val="20"/>
          <w:lang w:val="sr-Cyrl-CS" w:eastAsia="sr-Cyrl-CS"/>
        </w:rPr>
        <w:t xml:space="preserve">Najveći dio troškova Garantnog fonda se odnosi na </w:t>
      </w:r>
      <w:r w:rsidRPr="00C765E8">
        <w:rPr>
          <w:rFonts w:asciiTheme="minorHAnsi" w:hAnsiTheme="minorHAnsi"/>
          <w:b/>
          <w:color w:val="auto"/>
          <w:sz w:val="20"/>
          <w:szCs w:val="20"/>
          <w:lang w:val="sr-Cyrl-CS" w:eastAsia="sr-Cyrl-CS"/>
        </w:rPr>
        <w:t>troškove zarada, naknada zarada i ostala lična primanja</w:t>
      </w:r>
      <w:r w:rsidRPr="00C765E8">
        <w:rPr>
          <w:rFonts w:asciiTheme="minorHAnsi" w:hAnsiTheme="minorHAnsi"/>
          <w:color w:val="auto"/>
          <w:sz w:val="20"/>
          <w:szCs w:val="20"/>
          <w:lang w:val="sr-Cyrl-CS" w:eastAsia="sr-Cyrl-CS"/>
        </w:rPr>
        <w:t xml:space="preserve">. Ova grupa troškova je u 2024. godini ostvarena u iznosu od 1.447.097,51 KM i čini 78,84% troškova poslovanja, odnosno </w:t>
      </w:r>
      <w:r>
        <w:rPr>
          <w:rFonts w:asciiTheme="minorHAnsi" w:hAnsiTheme="minorHAnsi"/>
          <w:color w:val="auto"/>
          <w:sz w:val="20"/>
          <w:szCs w:val="20"/>
          <w:lang w:val="sr-Cyrl-CS" w:eastAsia="sr-Cyrl-CS"/>
        </w:rPr>
        <w:t xml:space="preserve">više od polovine </w:t>
      </w:r>
      <w:r w:rsidRPr="00C765E8">
        <w:rPr>
          <w:rFonts w:asciiTheme="minorHAnsi" w:hAnsiTheme="minorHAnsi"/>
          <w:color w:val="auto"/>
          <w:sz w:val="20"/>
          <w:szCs w:val="20"/>
          <w:lang w:val="sr-Cyrl-CS" w:eastAsia="sr-Cyrl-CS"/>
        </w:rPr>
        <w:t>ukupnih rashoda u 2024</w:t>
      </w:r>
      <w:r>
        <w:rPr>
          <w:rFonts w:asciiTheme="minorHAnsi" w:hAnsiTheme="minorHAnsi"/>
          <w:color w:val="auto"/>
          <w:sz w:val="20"/>
          <w:szCs w:val="20"/>
          <w:lang w:val="sr-Cyrl-CS" w:eastAsia="sr-Cyrl-CS"/>
        </w:rPr>
        <w:t>. godini (</w:t>
      </w:r>
      <w:r w:rsidRPr="00C765E8">
        <w:rPr>
          <w:rFonts w:asciiTheme="minorHAnsi" w:hAnsiTheme="minorHAnsi"/>
          <w:color w:val="auto"/>
          <w:sz w:val="20"/>
          <w:szCs w:val="20"/>
          <w:lang w:val="sr-Cyrl-CS" w:eastAsia="sr-Cyrl-CS"/>
        </w:rPr>
        <w:t>54,46%</w:t>
      </w:r>
      <w:r>
        <w:rPr>
          <w:rFonts w:asciiTheme="minorHAnsi" w:hAnsiTheme="minorHAnsi"/>
          <w:color w:val="auto"/>
          <w:sz w:val="20"/>
          <w:szCs w:val="20"/>
          <w:lang w:val="sr-Cyrl-CS" w:eastAsia="sr-Cyrl-CS"/>
        </w:rPr>
        <w:t>).</w:t>
      </w:r>
      <w:r w:rsidRPr="00C765E8">
        <w:rPr>
          <w:rFonts w:asciiTheme="minorHAnsi" w:hAnsiTheme="minorHAnsi"/>
          <w:color w:val="auto"/>
          <w:sz w:val="20"/>
          <w:szCs w:val="20"/>
          <w:lang w:val="sr-Cyrl-CS" w:eastAsia="sr-Cyrl-CS"/>
        </w:rPr>
        <w:t xml:space="preserve"> Ovi troškovi obuhvataju troškove zarada, naknada zarada, troškove poreza i doprinosa, naknada za privremene i povremene poslove (</w:t>
      </w:r>
      <w:r>
        <w:rPr>
          <w:rFonts w:asciiTheme="minorHAnsi" w:hAnsiTheme="minorHAnsi"/>
          <w:color w:val="auto"/>
          <w:sz w:val="20"/>
          <w:szCs w:val="20"/>
          <w:lang w:val="sr-Cyrl-BA" w:eastAsia="sr-Cyrl-CS"/>
        </w:rPr>
        <w:t>ugovori o djelu),</w:t>
      </w:r>
      <w:r w:rsidRPr="00C765E8">
        <w:rPr>
          <w:rFonts w:asciiTheme="minorHAnsi" w:hAnsiTheme="minorHAnsi"/>
          <w:color w:val="auto"/>
          <w:sz w:val="20"/>
          <w:szCs w:val="20"/>
          <w:lang w:val="sr-Cyrl-BA" w:eastAsia="sr-Cyrl-CS"/>
        </w:rPr>
        <w:t xml:space="preserve"> </w:t>
      </w:r>
      <w:r w:rsidRPr="00C765E8">
        <w:rPr>
          <w:rFonts w:asciiTheme="minorHAnsi" w:hAnsiTheme="minorHAnsi"/>
          <w:color w:val="auto"/>
          <w:sz w:val="20"/>
          <w:szCs w:val="20"/>
          <w:lang w:val="sr-Cyrl-CS" w:eastAsia="sr-Cyrl-CS"/>
        </w:rPr>
        <w:t>te ostale lične rashode (</w:t>
      </w:r>
      <w:r>
        <w:rPr>
          <w:rFonts w:asciiTheme="minorHAnsi" w:hAnsiTheme="minorHAnsi"/>
          <w:color w:val="auto"/>
          <w:sz w:val="20"/>
          <w:szCs w:val="20"/>
          <w:lang w:val="sr-Cyrl-BA" w:eastAsia="sr-Cyrl-CS"/>
        </w:rPr>
        <w:t>troškovi prevoza, goriva, otpremnina, smještaja i hrane na službenom putu</w:t>
      </w:r>
      <w:r w:rsidRPr="00C765E8">
        <w:rPr>
          <w:rFonts w:asciiTheme="minorHAnsi" w:hAnsiTheme="minorHAnsi"/>
          <w:color w:val="auto"/>
          <w:sz w:val="20"/>
          <w:szCs w:val="20"/>
          <w:lang w:val="sr-Cyrl-BA" w:eastAsia="sr-Cyrl-CS"/>
        </w:rPr>
        <w:t xml:space="preserve">). Posmatrano u odnosu na plan, ovi troškovi su ostvareni u iznosu koji je za </w:t>
      </w:r>
      <w:r>
        <w:rPr>
          <w:rFonts w:asciiTheme="minorHAnsi" w:hAnsiTheme="minorHAnsi"/>
          <w:color w:val="auto"/>
          <w:sz w:val="20"/>
          <w:szCs w:val="20"/>
          <w:lang w:val="sr-Cyrl-BA" w:eastAsia="sr-Cyrl-CS"/>
        </w:rPr>
        <w:t>17,28</w:t>
      </w:r>
      <w:r w:rsidRPr="00C765E8">
        <w:rPr>
          <w:rFonts w:asciiTheme="minorHAnsi" w:hAnsiTheme="minorHAnsi"/>
          <w:color w:val="auto"/>
          <w:sz w:val="20"/>
          <w:szCs w:val="20"/>
          <w:lang w:val="sr-Cyrl-BA" w:eastAsia="sr-Cyrl-CS"/>
        </w:rPr>
        <w:t>% manji od planiranog.</w:t>
      </w:r>
      <w:r>
        <w:rPr>
          <w:rFonts w:asciiTheme="minorHAnsi" w:hAnsiTheme="minorHAnsi"/>
          <w:color w:val="auto"/>
          <w:sz w:val="20"/>
          <w:szCs w:val="20"/>
          <w:lang w:val="sr-Cyrl-BA" w:eastAsia="sr-Cyrl-CS"/>
        </w:rPr>
        <w:t xml:space="preserve"> Ova grupa troškova je manja i u odnosu na prethodnu godinu za 61.684,32 KM.</w:t>
      </w:r>
    </w:p>
    <w:p w:rsidR="005934B2" w:rsidRPr="008B5A35"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000000" w:themeColor="text1"/>
          <w:sz w:val="20"/>
          <w:szCs w:val="20"/>
          <w:lang w:val="sr-Cyrl-BA" w:eastAsia="sr-Cyrl-CS"/>
        </w:rPr>
      </w:pPr>
      <w:r w:rsidRPr="000600A0">
        <w:rPr>
          <w:rFonts w:asciiTheme="minorHAnsi" w:hAnsiTheme="minorHAnsi"/>
          <w:b/>
          <w:color w:val="000000" w:themeColor="text1"/>
          <w:sz w:val="20"/>
          <w:szCs w:val="20"/>
          <w:lang w:val="sr-Cyrl-BA" w:eastAsia="sr-Cyrl-CS"/>
        </w:rPr>
        <w:t>Nematerijalni troškovi</w:t>
      </w:r>
      <w:r w:rsidRPr="000600A0">
        <w:rPr>
          <w:rFonts w:asciiTheme="minorHAnsi" w:hAnsiTheme="minorHAnsi"/>
          <w:color w:val="000000" w:themeColor="text1"/>
          <w:sz w:val="20"/>
          <w:szCs w:val="20"/>
          <w:lang w:val="sr-Cyrl-BA" w:eastAsia="sr-Cyrl-CS"/>
        </w:rPr>
        <w:t xml:space="preserve"> su ostvareni u iznosu od 188.215,18 KM.  Najznačajnije stavke u okviru ove grupe su: troškovi advokatskih usluga, trošak članarine u Zelenom navigatoru i Evropskoj asocijaciji garantnih institucija (AECM)</w:t>
      </w:r>
      <w:r>
        <w:rPr>
          <w:rFonts w:asciiTheme="minorHAnsi" w:hAnsiTheme="minorHAnsi"/>
          <w:color w:val="000000" w:themeColor="text1"/>
          <w:sz w:val="20"/>
          <w:szCs w:val="20"/>
          <w:lang w:val="sr-Cyrl-BA" w:eastAsia="sr-Cyrl-CS"/>
        </w:rPr>
        <w:t xml:space="preserve">, troškovi reprezentacije, </w:t>
      </w:r>
      <w:r w:rsidRPr="000600A0">
        <w:rPr>
          <w:rFonts w:asciiTheme="minorHAnsi" w:hAnsiTheme="minorHAnsi"/>
          <w:color w:val="000000" w:themeColor="text1"/>
          <w:sz w:val="20"/>
          <w:szCs w:val="20"/>
          <w:lang w:val="sr-Cyrl-BA" w:eastAsia="sr-Cyrl-CS"/>
        </w:rPr>
        <w:t>troškovi PTT usluga u zemlji</w:t>
      </w:r>
      <w:r>
        <w:rPr>
          <w:rFonts w:asciiTheme="minorHAnsi" w:hAnsiTheme="minorHAnsi"/>
          <w:color w:val="000000" w:themeColor="text1"/>
          <w:sz w:val="20"/>
          <w:szCs w:val="20"/>
          <w:lang w:val="sr-Cyrl-BA" w:eastAsia="sr-Cyrl-CS"/>
        </w:rPr>
        <w:t xml:space="preserve"> i troškovi objave konkursa u Službenom glasniku</w:t>
      </w:r>
      <w:r w:rsidRPr="000600A0">
        <w:rPr>
          <w:rFonts w:asciiTheme="minorHAnsi" w:hAnsiTheme="minorHAnsi"/>
          <w:color w:val="000000" w:themeColor="text1"/>
          <w:sz w:val="20"/>
          <w:szCs w:val="20"/>
          <w:lang w:val="sr-Cyrl-BA" w:eastAsia="sr-Cyrl-CS"/>
        </w:rPr>
        <w:t>. Navedene stavke zajedno čine više od 80% ostvarenih troškova u ovoj kategoriji.</w:t>
      </w:r>
    </w:p>
    <w:p w:rsidR="005934B2" w:rsidRPr="000600A0" w:rsidRDefault="005934B2" w:rsidP="00A401F8">
      <w:pPr>
        <w:rPr>
          <w:rFonts w:asciiTheme="minorHAnsi" w:hAnsiTheme="minorHAnsi"/>
          <w:color w:val="000000" w:themeColor="text1"/>
          <w:sz w:val="20"/>
          <w:szCs w:val="20"/>
          <w:lang w:val="sr-Cyrl-BA" w:eastAsia="sr-Cyrl-CS"/>
        </w:rPr>
      </w:pPr>
    </w:p>
    <w:p w:rsidR="005934B2" w:rsidRDefault="005934B2" w:rsidP="00A401F8">
      <w:pPr>
        <w:rPr>
          <w:rFonts w:asciiTheme="minorHAnsi" w:hAnsiTheme="minorHAnsi"/>
          <w:color w:val="000000" w:themeColor="text1"/>
          <w:sz w:val="20"/>
          <w:szCs w:val="20"/>
          <w:lang w:val="sr-Cyrl-BA" w:eastAsia="sr-Cyrl-CS"/>
        </w:rPr>
      </w:pPr>
      <w:r w:rsidRPr="00471EC5">
        <w:rPr>
          <w:rFonts w:asciiTheme="minorHAnsi" w:hAnsiTheme="minorHAnsi"/>
          <w:b/>
          <w:color w:val="000000" w:themeColor="text1"/>
          <w:sz w:val="20"/>
          <w:szCs w:val="20"/>
          <w:lang w:val="sr-Cyrl-BA" w:eastAsia="sr-Cyrl-CS"/>
        </w:rPr>
        <w:t>Ostali troškovi</w:t>
      </w:r>
      <w:r w:rsidRPr="00471EC5">
        <w:rPr>
          <w:rFonts w:asciiTheme="minorHAnsi" w:hAnsiTheme="minorHAnsi"/>
          <w:color w:val="000000" w:themeColor="text1"/>
          <w:sz w:val="20"/>
          <w:szCs w:val="20"/>
          <w:lang w:val="sr-Cyrl-BA" w:eastAsia="sr-Cyrl-CS"/>
        </w:rPr>
        <w:t xml:space="preserve"> su iznosili 97.431,88KM. Najveći dio grupe ostalih troškova (56.567,98 KM) se odnosi na trošak zakupa poslovnih prostorija Fonda, koje su u vlasništvu Investiciono-razvojne banke a.d. Banja Luka, te troškov</w:t>
      </w:r>
      <w:r>
        <w:rPr>
          <w:rFonts w:asciiTheme="minorHAnsi" w:hAnsiTheme="minorHAnsi"/>
          <w:color w:val="000000" w:themeColor="text1"/>
          <w:sz w:val="20"/>
          <w:szCs w:val="20"/>
          <w:lang w:val="sr-Cyrl-BA" w:eastAsia="sr-Cyrl-CS"/>
        </w:rPr>
        <w:t xml:space="preserve">e </w:t>
      </w:r>
      <w:r w:rsidRPr="00471EC5">
        <w:rPr>
          <w:rFonts w:asciiTheme="minorHAnsi" w:hAnsiTheme="minorHAnsi"/>
          <w:color w:val="000000" w:themeColor="text1"/>
          <w:sz w:val="20"/>
          <w:szCs w:val="20"/>
          <w:lang w:val="sr-Cyrl-BA" w:eastAsia="sr-Cyrl-CS"/>
        </w:rPr>
        <w:t>reklame i propagande.</w:t>
      </w:r>
    </w:p>
    <w:p w:rsidR="005934B2" w:rsidRPr="00471EC5" w:rsidRDefault="005934B2" w:rsidP="00A401F8">
      <w:pPr>
        <w:rPr>
          <w:rFonts w:asciiTheme="minorHAnsi" w:hAnsiTheme="minorHAnsi"/>
          <w:color w:val="000000" w:themeColor="text1"/>
          <w:sz w:val="20"/>
          <w:szCs w:val="20"/>
          <w:lang w:val="sr-Cyrl-BA" w:eastAsia="sr-Cyrl-CS"/>
        </w:rPr>
      </w:pPr>
    </w:p>
    <w:p w:rsidR="005934B2" w:rsidRDefault="005934B2" w:rsidP="00A401F8">
      <w:pPr>
        <w:rPr>
          <w:rFonts w:asciiTheme="minorHAnsi" w:hAnsiTheme="minorHAnsi"/>
          <w:color w:val="000000" w:themeColor="text1"/>
          <w:sz w:val="20"/>
          <w:szCs w:val="20"/>
          <w:lang w:val="sr-Cyrl-BA" w:eastAsia="sr-Cyrl-CS"/>
        </w:rPr>
      </w:pPr>
      <w:r w:rsidRPr="00471EC5">
        <w:rPr>
          <w:rFonts w:asciiTheme="minorHAnsi" w:hAnsiTheme="minorHAnsi"/>
          <w:b/>
          <w:color w:val="000000" w:themeColor="text1"/>
          <w:sz w:val="20"/>
          <w:szCs w:val="20"/>
          <w:lang w:val="sr-Cyrl-BA" w:eastAsia="sr-Cyrl-CS"/>
        </w:rPr>
        <w:t>Troškovi proizvodnih usluga</w:t>
      </w:r>
      <w:r w:rsidRPr="00471EC5">
        <w:rPr>
          <w:rFonts w:asciiTheme="minorHAnsi" w:hAnsiTheme="minorHAnsi"/>
          <w:color w:val="000000" w:themeColor="text1"/>
          <w:sz w:val="20"/>
          <w:szCs w:val="20"/>
          <w:lang w:val="sr-Cyrl-BA" w:eastAsia="sr-Cyrl-CS"/>
        </w:rPr>
        <w:t xml:space="preserve"> su ostvareni u iznosu od 54.349,20 KM i najvećim dijelom se odnose na troškove održavanja softvera redovnih garancija, troškove održavanja garancija iz kreditnog portfelja, troškove održavanja garancija iz Programa </w:t>
      </w:r>
      <w:r w:rsidRPr="00471EC5">
        <w:rPr>
          <w:rFonts w:asciiTheme="minorHAnsi" w:hAnsiTheme="minorHAnsi"/>
          <w:color w:val="000000" w:themeColor="text1"/>
          <w:sz w:val="20"/>
          <w:szCs w:val="20"/>
          <w:lang w:val="sr-Latn-BA" w:eastAsia="sr-Cyrl-CS"/>
        </w:rPr>
        <w:t>COVID 19</w:t>
      </w:r>
      <w:r w:rsidRPr="00471EC5">
        <w:rPr>
          <w:rFonts w:asciiTheme="minorHAnsi" w:hAnsiTheme="minorHAnsi"/>
          <w:color w:val="000000" w:themeColor="text1"/>
          <w:sz w:val="20"/>
          <w:szCs w:val="20"/>
          <w:lang w:val="sr-Cyrl-BA" w:eastAsia="sr-Cyrl-CS"/>
        </w:rPr>
        <w:t>, te troškove održavanja sistemskog softvera.</w:t>
      </w:r>
    </w:p>
    <w:p w:rsidR="005934B2" w:rsidRPr="00471EC5" w:rsidRDefault="005934B2" w:rsidP="00A401F8">
      <w:pPr>
        <w:rPr>
          <w:rFonts w:asciiTheme="minorHAnsi" w:hAnsiTheme="minorHAnsi"/>
          <w:color w:val="000000" w:themeColor="text1"/>
          <w:sz w:val="20"/>
          <w:szCs w:val="20"/>
          <w:lang w:val="sr-Cyrl-BA" w:eastAsia="sr-Cyrl-CS"/>
        </w:rPr>
      </w:pPr>
    </w:p>
    <w:p w:rsidR="005934B2" w:rsidRPr="00471EC5" w:rsidRDefault="005934B2" w:rsidP="00A401F8">
      <w:pPr>
        <w:rPr>
          <w:rFonts w:asciiTheme="minorHAnsi" w:hAnsiTheme="minorHAnsi"/>
          <w:color w:val="000000" w:themeColor="text1"/>
          <w:sz w:val="20"/>
          <w:szCs w:val="20"/>
          <w:lang w:val="sr-Cyrl-BA" w:eastAsia="sr-Cyrl-CS"/>
        </w:rPr>
      </w:pPr>
      <w:r w:rsidRPr="00471EC5">
        <w:rPr>
          <w:rFonts w:asciiTheme="minorHAnsi" w:hAnsiTheme="minorHAnsi"/>
          <w:b/>
          <w:color w:val="000000" w:themeColor="text1"/>
          <w:sz w:val="20"/>
          <w:szCs w:val="20"/>
          <w:lang w:val="sr-Cyrl-BA" w:eastAsia="sr-Cyrl-CS"/>
        </w:rPr>
        <w:t>Troškovi amortizacije</w:t>
      </w:r>
      <w:r w:rsidRPr="00471EC5">
        <w:rPr>
          <w:rFonts w:asciiTheme="minorHAnsi" w:hAnsiTheme="minorHAnsi"/>
          <w:color w:val="000000" w:themeColor="text1"/>
          <w:sz w:val="20"/>
          <w:szCs w:val="20"/>
          <w:lang w:val="sr-Cyrl-BA" w:eastAsia="sr-Cyrl-CS"/>
        </w:rPr>
        <w:t xml:space="preserve"> u iznosu od </w:t>
      </w:r>
      <w:r>
        <w:rPr>
          <w:rFonts w:asciiTheme="minorHAnsi" w:hAnsiTheme="minorHAnsi"/>
          <w:color w:val="000000" w:themeColor="text1"/>
          <w:sz w:val="20"/>
          <w:szCs w:val="20"/>
          <w:lang w:val="sr-Cyrl-BA" w:eastAsia="sr-Cyrl-CS"/>
        </w:rPr>
        <w:t>40.909,08</w:t>
      </w:r>
      <w:r w:rsidRPr="00471EC5">
        <w:rPr>
          <w:rFonts w:asciiTheme="minorHAnsi" w:hAnsiTheme="minorHAnsi"/>
          <w:color w:val="000000" w:themeColor="text1"/>
          <w:sz w:val="20"/>
          <w:szCs w:val="20"/>
          <w:lang w:val="sr-Cyrl-BA" w:eastAsia="sr-Cyrl-CS"/>
        </w:rPr>
        <w:t xml:space="preserve"> KM se najvećim dijelom odnose na amortizaciju osnovnih sredstava, odnosno opreme koja se koristi u redovnom poslovanju Fonda.</w:t>
      </w:r>
    </w:p>
    <w:p w:rsidR="005934B2" w:rsidRPr="00471EC5" w:rsidRDefault="005934B2" w:rsidP="00A401F8">
      <w:pPr>
        <w:rPr>
          <w:rFonts w:asciiTheme="minorHAnsi" w:hAnsiTheme="minorHAnsi"/>
          <w:color w:val="000000" w:themeColor="text1"/>
          <w:sz w:val="20"/>
          <w:szCs w:val="20"/>
          <w:lang w:val="sr-Cyrl-BA" w:eastAsia="sr-Cyrl-CS"/>
        </w:rPr>
      </w:pPr>
    </w:p>
    <w:p w:rsidR="005934B2" w:rsidRDefault="005934B2" w:rsidP="00A401F8">
      <w:pPr>
        <w:rPr>
          <w:rFonts w:asciiTheme="minorHAnsi" w:hAnsiTheme="minorHAnsi"/>
          <w:sz w:val="20"/>
          <w:szCs w:val="20"/>
          <w:lang w:val="sr-Cyrl-CS" w:eastAsia="sr-Cyrl-CS"/>
        </w:rPr>
      </w:pPr>
      <w:r>
        <w:rPr>
          <w:rFonts w:asciiTheme="minorHAnsi" w:hAnsiTheme="minorHAnsi"/>
          <w:sz w:val="20"/>
          <w:szCs w:val="20"/>
          <w:lang w:val="sr-Cyrl-CS" w:eastAsia="sr-Cyrl-CS"/>
        </w:rPr>
        <w:t>Generalno posmatrano, najveć</w:t>
      </w:r>
      <w:r w:rsidRPr="00471EC5">
        <w:rPr>
          <w:rFonts w:asciiTheme="minorHAnsi" w:hAnsiTheme="minorHAnsi"/>
          <w:sz w:val="20"/>
          <w:szCs w:val="20"/>
          <w:lang w:val="sr-Cyrl-CS" w:eastAsia="sr-Cyrl-CS"/>
        </w:rPr>
        <w:t>i dio stavki troškova je ostvaren u manjem iznosu u odnosu na plan za 2024. godinu. Ostvarenje je premaš</w:t>
      </w:r>
      <w:r>
        <w:rPr>
          <w:rFonts w:asciiTheme="minorHAnsi" w:hAnsiTheme="minorHAnsi"/>
          <w:sz w:val="20"/>
          <w:szCs w:val="20"/>
          <w:lang w:val="sr-Cyrl-CS" w:eastAsia="sr-Cyrl-CS"/>
        </w:rPr>
        <w:t>ilo plan</w:t>
      </w:r>
      <w:r w:rsidRPr="00471EC5">
        <w:rPr>
          <w:rFonts w:asciiTheme="minorHAnsi" w:hAnsiTheme="minorHAnsi"/>
          <w:sz w:val="20"/>
          <w:szCs w:val="20"/>
          <w:lang w:val="sr-Cyrl-CS" w:eastAsia="sr-Cyrl-CS"/>
        </w:rPr>
        <w:t xml:space="preserve"> na nekim stavkama rashoda koje se nisu mogle adekvatno planirati iz gore navedenih ra</w:t>
      </w:r>
      <w:r>
        <w:rPr>
          <w:rFonts w:asciiTheme="minorHAnsi" w:hAnsiTheme="minorHAnsi"/>
          <w:sz w:val="20"/>
          <w:szCs w:val="20"/>
          <w:lang w:val="sr-Cyrl-CS" w:eastAsia="sr-Cyrl-CS"/>
        </w:rPr>
        <w:t>zloga</w:t>
      </w:r>
      <w:r w:rsidRPr="00471EC5">
        <w:rPr>
          <w:rFonts w:asciiTheme="minorHAnsi" w:hAnsiTheme="minorHAnsi"/>
          <w:sz w:val="20"/>
          <w:szCs w:val="20"/>
          <w:lang w:val="sr-Cyrl-CS" w:eastAsia="sr-Cyrl-CS"/>
        </w:rPr>
        <w:t>, te u okviru grupe troškova povremenih i privremenih poslova</w:t>
      </w:r>
      <w:r>
        <w:rPr>
          <w:rFonts w:asciiTheme="minorHAnsi" w:hAnsiTheme="minorHAnsi"/>
          <w:sz w:val="20"/>
          <w:szCs w:val="20"/>
          <w:lang w:val="sr-Cyrl-CS" w:eastAsia="sr-Cyrl-CS"/>
        </w:rPr>
        <w:t xml:space="preserve"> i nematerijalnih troškova. Sve ostale stavke troškova su imale ostvarenje na manjem nivou od planiranog, što pokazuju i troškovi funkcionisanja Fonda koji su 16,69% manji u odnosu na plan.</w:t>
      </w: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sz w:val="20"/>
          <w:szCs w:val="20"/>
          <w:lang w:val="sr-Cyrl-CS" w:eastAsia="sr-Cyrl-CS"/>
        </w:rPr>
      </w:pPr>
    </w:p>
    <w:p w:rsidR="005934B2" w:rsidRPr="00462BE1"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b/>
          <w:sz w:val="20"/>
          <w:szCs w:val="20"/>
          <w:lang w:val="sr-Cyrl-CS" w:eastAsia="sr-Cyrl-CS"/>
        </w:rPr>
      </w:pPr>
    </w:p>
    <w:p w:rsidR="005934B2" w:rsidRPr="00914272" w:rsidRDefault="005934B2" w:rsidP="00A401F8">
      <w:pPr>
        <w:jc w:val="center"/>
        <w:rPr>
          <w:rFonts w:asciiTheme="minorHAnsi" w:hAnsiTheme="minorHAnsi"/>
          <w:b/>
          <w:sz w:val="20"/>
          <w:szCs w:val="20"/>
          <w:lang w:val="sr-Cyrl-CS" w:eastAsia="sr-Cyrl-CS"/>
        </w:rPr>
      </w:pPr>
      <w:r w:rsidRPr="00914272">
        <w:rPr>
          <w:rFonts w:asciiTheme="minorHAnsi" w:hAnsiTheme="minorHAnsi"/>
          <w:b/>
          <w:sz w:val="20"/>
          <w:szCs w:val="20"/>
          <w:lang w:val="sr-Cyrl-CS" w:eastAsia="sr-Cyrl-CS"/>
        </w:rPr>
        <w:t xml:space="preserve">Pregled </w:t>
      </w:r>
      <w:r>
        <w:rPr>
          <w:rFonts w:asciiTheme="minorHAnsi" w:hAnsiTheme="minorHAnsi"/>
          <w:b/>
          <w:sz w:val="20"/>
          <w:szCs w:val="20"/>
          <w:lang w:val="sr-Cyrl-RS" w:eastAsia="sr-Cyrl-CS"/>
        </w:rPr>
        <w:t xml:space="preserve">strukture </w:t>
      </w:r>
      <w:r w:rsidRPr="00914272">
        <w:rPr>
          <w:rFonts w:asciiTheme="minorHAnsi" w:hAnsiTheme="minorHAnsi"/>
          <w:b/>
          <w:sz w:val="20"/>
          <w:szCs w:val="20"/>
          <w:lang w:val="sr-Cyrl-CS" w:eastAsia="sr-Cyrl-CS"/>
        </w:rPr>
        <w:t>ostvarenih rashoda poslovanja u 202</w:t>
      </w:r>
      <w:r>
        <w:rPr>
          <w:rFonts w:asciiTheme="minorHAnsi" w:hAnsiTheme="minorHAnsi"/>
          <w:b/>
          <w:sz w:val="20"/>
          <w:szCs w:val="20"/>
          <w:lang w:val="sr-Cyrl-CS" w:eastAsia="sr-Cyrl-CS"/>
        </w:rPr>
        <w:t>4</w:t>
      </w:r>
      <w:r w:rsidRPr="00914272">
        <w:rPr>
          <w:rFonts w:asciiTheme="minorHAnsi" w:hAnsiTheme="minorHAnsi"/>
          <w:b/>
          <w:sz w:val="20"/>
          <w:szCs w:val="20"/>
          <w:lang w:val="sr-Cyrl-CS" w:eastAsia="sr-Cyrl-CS"/>
        </w:rPr>
        <w:t>. godini</w:t>
      </w:r>
    </w:p>
    <w:p w:rsidR="005934B2" w:rsidRPr="00914272" w:rsidRDefault="005934B2" w:rsidP="00A401F8">
      <w:pPr>
        <w:rPr>
          <w:rFonts w:asciiTheme="minorHAnsi" w:hAnsiTheme="minorHAnsi"/>
          <w:b/>
          <w:sz w:val="20"/>
          <w:szCs w:val="20"/>
          <w:lang w:val="sr-Cyrl-CS" w:eastAsia="sr-Cyrl-CS"/>
        </w:rPr>
      </w:pPr>
    </w:p>
    <w:p w:rsidR="005934B2" w:rsidRDefault="005934B2" w:rsidP="00A401F8">
      <w:pPr>
        <w:jc w:val="right"/>
        <w:rPr>
          <w:rFonts w:asciiTheme="minorHAnsi" w:hAnsiTheme="minorHAnsi"/>
          <w:b/>
          <w:sz w:val="20"/>
          <w:szCs w:val="20"/>
          <w:lang w:val="sr-Cyrl-CS" w:eastAsia="sr-Cyrl-CS"/>
        </w:rPr>
      </w:pPr>
      <w:r>
        <w:rPr>
          <w:rFonts w:asciiTheme="minorHAnsi" w:hAnsiTheme="minorHAnsi"/>
          <w:b/>
          <w:sz w:val="20"/>
          <w:szCs w:val="20"/>
          <w:lang w:val="sr-Cyrl-CS" w:eastAsia="sr-Cyrl-CS"/>
        </w:rPr>
        <w:t xml:space="preserve">                       Tabela 19</w:t>
      </w:r>
    </w:p>
    <w:tbl>
      <w:tblPr>
        <w:tblW w:w="8804" w:type="dxa"/>
        <w:tblInd w:w="93" w:type="dxa"/>
        <w:tblLook w:val="04A0" w:firstRow="1" w:lastRow="0" w:firstColumn="1" w:lastColumn="0" w:noHBand="0" w:noVBand="1"/>
      </w:tblPr>
      <w:tblGrid>
        <w:gridCol w:w="731"/>
        <w:gridCol w:w="3820"/>
        <w:gridCol w:w="2127"/>
        <w:gridCol w:w="2126"/>
      </w:tblGrid>
      <w:tr w:rsidR="005934B2" w:rsidRPr="002F1FCA" w:rsidTr="000366C5">
        <w:trPr>
          <w:trHeight w:val="630"/>
        </w:trPr>
        <w:tc>
          <w:tcPr>
            <w:tcW w:w="731" w:type="dxa"/>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Konto</w:t>
            </w:r>
          </w:p>
        </w:tc>
        <w:tc>
          <w:tcPr>
            <w:tcW w:w="3820" w:type="dxa"/>
            <w:tcBorders>
              <w:top w:val="single" w:sz="4" w:space="0" w:color="auto"/>
              <w:left w:val="nil"/>
              <w:bottom w:val="single" w:sz="4" w:space="0" w:color="auto"/>
              <w:right w:val="single" w:sz="4" w:space="0" w:color="auto"/>
            </w:tcBorders>
            <w:shd w:val="clear" w:color="000000" w:fill="8DB4E2"/>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Naziv</w:t>
            </w:r>
          </w:p>
        </w:tc>
        <w:tc>
          <w:tcPr>
            <w:tcW w:w="2127" w:type="dxa"/>
            <w:tcBorders>
              <w:top w:val="single" w:sz="4" w:space="0" w:color="auto"/>
              <w:left w:val="nil"/>
              <w:bottom w:val="single" w:sz="4" w:space="0" w:color="auto"/>
              <w:right w:val="single" w:sz="4" w:space="0" w:color="auto"/>
            </w:tcBorders>
            <w:shd w:val="clear" w:color="000000" w:fill="8DB4E2"/>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Ostvareno u 2024. godini</w:t>
            </w:r>
          </w:p>
        </w:tc>
        <w:tc>
          <w:tcPr>
            <w:tcW w:w="2126" w:type="dxa"/>
            <w:tcBorders>
              <w:top w:val="single" w:sz="4" w:space="0" w:color="auto"/>
              <w:left w:val="nil"/>
              <w:bottom w:val="single" w:sz="4" w:space="0" w:color="auto"/>
              <w:right w:val="single" w:sz="4" w:space="0" w:color="auto"/>
            </w:tcBorders>
            <w:shd w:val="clear" w:color="000000" w:fill="8DB4E2"/>
            <w:noWrap/>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Struktura</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60</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Rashodi kamata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16.008,38</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0,60%</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610</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Rashodi naknada u domaćoj valuti</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4.216,69</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0,16%</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61002</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Naknada Centralnom registru HOV</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4000,2</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0,15%</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622</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Gubici po osnovu prestanka priznavanja finansijskih sredstava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204.474,65</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471EC5">
              <w:rPr>
                <w:rFonts w:ascii="Calibri" w:hAnsi="Calibri"/>
                <w:color w:val="000000" w:themeColor="text1"/>
                <w:sz w:val="18"/>
                <w:szCs w:val="18"/>
              </w:rPr>
              <w:t>7,70%</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6332</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Gubici po osnovu prodaje sredstava namijenjenih prodaji</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53.725,33</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2,02%</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6402</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 xml:space="preserve">Rashodi indirektnih otpisa plasmana </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178.723,98</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color w:val="auto"/>
                <w:sz w:val="18"/>
                <w:szCs w:val="18"/>
              </w:rPr>
              <w:t>6,73%</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6410</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Rashodi rezervisanja po vanbilansnoj aktivi</w:t>
            </w:r>
          </w:p>
        </w:tc>
        <w:tc>
          <w:tcPr>
            <w:tcW w:w="2127" w:type="dxa"/>
            <w:tcBorders>
              <w:top w:val="nil"/>
              <w:left w:val="nil"/>
              <w:bottom w:val="nil"/>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360.288,35</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color w:val="auto"/>
                <w:sz w:val="18"/>
                <w:szCs w:val="18"/>
              </w:rPr>
            </w:pPr>
            <w:r w:rsidRPr="002F1FCA">
              <w:rPr>
                <w:rFonts w:ascii="Calibri" w:hAnsi="Calibri"/>
                <w:color w:val="auto"/>
                <w:sz w:val="18"/>
                <w:szCs w:val="18"/>
              </w:rPr>
              <w:t>13,56%</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650</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 xml:space="preserve">Troškovi zarada </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sz w:val="18"/>
                <w:szCs w:val="18"/>
              </w:rPr>
            </w:pPr>
            <w:r w:rsidRPr="002F1FCA">
              <w:rPr>
                <w:rFonts w:ascii="Calibri" w:hAnsi="Calibri"/>
                <w:sz w:val="18"/>
                <w:szCs w:val="18"/>
              </w:rPr>
              <w:t>773.116,23</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color w:val="auto"/>
                <w:sz w:val="18"/>
                <w:szCs w:val="18"/>
              </w:rPr>
            </w:pPr>
            <w:r w:rsidRPr="002F1FCA">
              <w:rPr>
                <w:rFonts w:ascii="Calibri" w:hAnsi="Calibri"/>
                <w:color w:val="auto"/>
                <w:sz w:val="18"/>
                <w:szCs w:val="18"/>
              </w:rPr>
              <w:t>29,10%</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651</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naknada zarada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73.239,47</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color w:val="auto"/>
                <w:sz w:val="18"/>
                <w:szCs w:val="18"/>
              </w:rPr>
            </w:pPr>
            <w:r w:rsidRPr="002F1FCA">
              <w:rPr>
                <w:rFonts w:ascii="Calibri" w:hAnsi="Calibri"/>
                <w:color w:val="auto"/>
                <w:sz w:val="18"/>
                <w:szCs w:val="18"/>
              </w:rPr>
              <w:t>2,76%</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652</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poreza na zarade i naknada zarada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sz w:val="18"/>
                <w:szCs w:val="18"/>
              </w:rPr>
            </w:pPr>
            <w:r w:rsidRPr="002F1FCA">
              <w:rPr>
                <w:rFonts w:ascii="Calibri" w:hAnsi="Calibri"/>
                <w:sz w:val="18"/>
                <w:szCs w:val="18"/>
              </w:rPr>
              <w:t>88.546,22</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3,33%</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653</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doprinosa na zarade i naknade zarada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425.081,85</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color w:val="auto"/>
                <w:sz w:val="18"/>
                <w:szCs w:val="18"/>
              </w:rPr>
              <w:t>16,00%</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654</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naknada za privremene i povremene poslove</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37.036,01</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1,39%</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color w:val="auto"/>
                <w:sz w:val="18"/>
                <w:szCs w:val="18"/>
              </w:rPr>
            </w:pPr>
            <w:r w:rsidRPr="002F1FCA">
              <w:rPr>
                <w:rFonts w:ascii="Calibri" w:hAnsi="Calibri"/>
                <w:color w:val="auto"/>
                <w:sz w:val="18"/>
                <w:szCs w:val="18"/>
              </w:rPr>
              <w:t>655</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color w:val="auto"/>
                <w:sz w:val="18"/>
                <w:szCs w:val="18"/>
              </w:rPr>
            </w:pPr>
            <w:r w:rsidRPr="002F1FCA">
              <w:rPr>
                <w:rFonts w:ascii="Calibri" w:hAnsi="Calibri"/>
                <w:color w:val="auto"/>
                <w:sz w:val="18"/>
                <w:szCs w:val="18"/>
              </w:rPr>
              <w:t>Ostali lični rashodi</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50.077,73</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1,88%</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660</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materijala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6.309,82</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0,24%</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661</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proizvodnih usluga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54.349,20</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2,05%</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662</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amortizacije</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40.909,08</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1,54%</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664</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Nematerijalni troškovi (bez poreza i doprinosa)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188.215,18</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color w:val="auto"/>
                <w:sz w:val="18"/>
                <w:szCs w:val="18"/>
              </w:rPr>
              <w:t>7,08%</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665</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Troškovi po osnovu poreza i doprinosa</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sz w:val="18"/>
                <w:szCs w:val="18"/>
              </w:rPr>
            </w:pPr>
            <w:r w:rsidRPr="002F1FCA">
              <w:rPr>
                <w:rFonts w:ascii="Calibri" w:hAnsi="Calibri"/>
                <w:sz w:val="18"/>
                <w:szCs w:val="18"/>
              </w:rPr>
              <w:t>251,63</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0,01%</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666</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Ostali troškovi</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sz w:val="18"/>
                <w:szCs w:val="18"/>
              </w:rPr>
            </w:pPr>
            <w:r w:rsidRPr="002F1FCA">
              <w:rPr>
                <w:rFonts w:ascii="Calibri" w:hAnsi="Calibri"/>
                <w:sz w:val="18"/>
                <w:szCs w:val="18"/>
              </w:rPr>
              <w:t>97.431,88</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3,67%</w:t>
            </w:r>
          </w:p>
        </w:tc>
      </w:tr>
      <w:tr w:rsidR="005934B2" w:rsidRPr="002F1FCA" w:rsidTr="000366C5">
        <w:trPr>
          <w:trHeight w:val="240"/>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678</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Ostali rashodi</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946,50</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0,04%</w:t>
            </w:r>
          </w:p>
        </w:tc>
      </w:tr>
      <w:tr w:rsidR="005934B2" w:rsidRPr="002F1FCA" w:rsidTr="000366C5">
        <w:trPr>
          <w:trHeight w:val="315"/>
        </w:trPr>
        <w:tc>
          <w:tcPr>
            <w:tcW w:w="731" w:type="dxa"/>
            <w:tcBorders>
              <w:top w:val="nil"/>
              <w:left w:val="single" w:sz="4" w:space="0" w:color="auto"/>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680</w:t>
            </w:r>
          </w:p>
        </w:tc>
        <w:tc>
          <w:tcPr>
            <w:tcW w:w="3820" w:type="dxa"/>
            <w:tcBorders>
              <w:top w:val="nil"/>
              <w:left w:val="nil"/>
              <w:bottom w:val="single" w:sz="4" w:space="0" w:color="auto"/>
              <w:right w:val="single" w:sz="4" w:space="0" w:color="auto"/>
            </w:tcBorders>
            <w:shd w:val="clear" w:color="auto" w:fill="auto"/>
            <w:vAlign w:val="center"/>
            <w:hideMark/>
          </w:tcPr>
          <w:p w:rsidR="005934B2" w:rsidRPr="002F1FCA" w:rsidRDefault="005934B2" w:rsidP="000366C5">
            <w:pPr>
              <w:jc w:val="left"/>
              <w:rPr>
                <w:rFonts w:ascii="Calibri" w:hAnsi="Calibri"/>
                <w:sz w:val="18"/>
                <w:szCs w:val="18"/>
              </w:rPr>
            </w:pPr>
            <w:r w:rsidRPr="002F1FCA">
              <w:rPr>
                <w:rFonts w:ascii="Calibri" w:hAnsi="Calibri"/>
                <w:sz w:val="18"/>
                <w:szCs w:val="18"/>
              </w:rPr>
              <w:t>Negativne kursne razlike</w:t>
            </w:r>
          </w:p>
        </w:tc>
        <w:tc>
          <w:tcPr>
            <w:tcW w:w="2127"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right"/>
              <w:rPr>
                <w:rFonts w:ascii="Calibri" w:hAnsi="Calibri"/>
                <w:color w:val="auto"/>
                <w:sz w:val="18"/>
                <w:szCs w:val="18"/>
              </w:rPr>
            </w:pPr>
            <w:r w:rsidRPr="002F1FCA">
              <w:rPr>
                <w:rFonts w:ascii="Calibri" w:hAnsi="Calibri"/>
                <w:color w:val="auto"/>
                <w:sz w:val="18"/>
                <w:szCs w:val="18"/>
              </w:rPr>
              <w:t>9,10</w:t>
            </w:r>
          </w:p>
        </w:tc>
        <w:tc>
          <w:tcPr>
            <w:tcW w:w="2126" w:type="dxa"/>
            <w:tcBorders>
              <w:top w:val="nil"/>
              <w:left w:val="nil"/>
              <w:bottom w:val="single" w:sz="4" w:space="0" w:color="auto"/>
              <w:right w:val="single" w:sz="4" w:space="0" w:color="auto"/>
            </w:tcBorders>
            <w:shd w:val="clear" w:color="auto" w:fill="auto"/>
            <w:noWrap/>
            <w:vAlign w:val="center"/>
            <w:hideMark/>
          </w:tcPr>
          <w:p w:rsidR="005934B2" w:rsidRPr="002F1FCA" w:rsidRDefault="005934B2" w:rsidP="000366C5">
            <w:pPr>
              <w:jc w:val="center"/>
              <w:rPr>
                <w:rFonts w:ascii="Calibri" w:hAnsi="Calibri"/>
                <w:sz w:val="18"/>
                <w:szCs w:val="18"/>
              </w:rPr>
            </w:pPr>
            <w:r w:rsidRPr="002F1FCA">
              <w:rPr>
                <w:rFonts w:ascii="Calibri" w:hAnsi="Calibri"/>
                <w:sz w:val="18"/>
                <w:szCs w:val="18"/>
              </w:rPr>
              <w:t>0,00%</w:t>
            </w:r>
          </w:p>
        </w:tc>
      </w:tr>
      <w:tr w:rsidR="005934B2" w:rsidRPr="002F1FCA" w:rsidTr="000366C5">
        <w:trPr>
          <w:trHeight w:val="315"/>
        </w:trPr>
        <w:tc>
          <w:tcPr>
            <w:tcW w:w="4551"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Ukupno troškovi</w:t>
            </w:r>
          </w:p>
        </w:tc>
        <w:tc>
          <w:tcPr>
            <w:tcW w:w="2127" w:type="dxa"/>
            <w:tcBorders>
              <w:top w:val="nil"/>
              <w:left w:val="nil"/>
              <w:bottom w:val="single" w:sz="4" w:space="0" w:color="auto"/>
              <w:right w:val="single" w:sz="4" w:space="0" w:color="auto"/>
            </w:tcBorders>
            <w:shd w:val="clear" w:color="000000" w:fill="8DB4E2"/>
            <w:noWrap/>
            <w:vAlign w:val="center"/>
            <w:hideMark/>
          </w:tcPr>
          <w:p w:rsidR="005934B2" w:rsidRPr="002F1FCA" w:rsidRDefault="005934B2" w:rsidP="000366C5">
            <w:pPr>
              <w:jc w:val="right"/>
              <w:rPr>
                <w:rFonts w:ascii="Calibri" w:hAnsi="Calibri"/>
                <w:b/>
                <w:bCs/>
                <w:color w:val="auto"/>
                <w:sz w:val="18"/>
                <w:szCs w:val="18"/>
              </w:rPr>
            </w:pPr>
            <w:r w:rsidRPr="002F1FCA">
              <w:rPr>
                <w:rFonts w:ascii="Calibri" w:hAnsi="Calibri"/>
                <w:b/>
                <w:bCs/>
                <w:color w:val="auto"/>
                <w:sz w:val="18"/>
                <w:szCs w:val="18"/>
              </w:rPr>
              <w:t>1.835.519,90</w:t>
            </w:r>
          </w:p>
        </w:tc>
        <w:tc>
          <w:tcPr>
            <w:tcW w:w="2126" w:type="dxa"/>
            <w:tcBorders>
              <w:top w:val="nil"/>
              <w:left w:val="nil"/>
              <w:bottom w:val="single" w:sz="4" w:space="0" w:color="auto"/>
              <w:right w:val="single" w:sz="4" w:space="0" w:color="auto"/>
            </w:tcBorders>
            <w:shd w:val="clear" w:color="000000" w:fill="8DB4E2"/>
            <w:noWrap/>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64,18%</w:t>
            </w:r>
          </w:p>
        </w:tc>
      </w:tr>
      <w:tr w:rsidR="005934B2" w:rsidRPr="002F1FCA" w:rsidTr="000366C5">
        <w:trPr>
          <w:trHeight w:val="315"/>
        </w:trPr>
        <w:tc>
          <w:tcPr>
            <w:tcW w:w="4551" w:type="dxa"/>
            <w:gridSpan w:val="2"/>
            <w:tcBorders>
              <w:top w:val="single" w:sz="4" w:space="0" w:color="auto"/>
              <w:left w:val="single" w:sz="4" w:space="0" w:color="auto"/>
              <w:bottom w:val="single" w:sz="4" w:space="0" w:color="auto"/>
              <w:right w:val="single" w:sz="4" w:space="0" w:color="auto"/>
            </w:tcBorders>
            <w:shd w:val="clear" w:color="000000" w:fill="8DB4E2"/>
            <w:noWrap/>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UKUPNO RASHODI</w:t>
            </w:r>
          </w:p>
        </w:tc>
        <w:tc>
          <w:tcPr>
            <w:tcW w:w="2127" w:type="dxa"/>
            <w:tcBorders>
              <w:top w:val="nil"/>
              <w:left w:val="nil"/>
              <w:bottom w:val="single" w:sz="4" w:space="0" w:color="auto"/>
              <w:right w:val="single" w:sz="4" w:space="0" w:color="auto"/>
            </w:tcBorders>
            <w:shd w:val="clear" w:color="000000" w:fill="8DB4E2"/>
            <w:noWrap/>
            <w:vAlign w:val="center"/>
            <w:hideMark/>
          </w:tcPr>
          <w:p w:rsidR="005934B2" w:rsidRPr="002F1FCA" w:rsidRDefault="005934B2" w:rsidP="000366C5">
            <w:pPr>
              <w:jc w:val="right"/>
              <w:rPr>
                <w:rFonts w:ascii="Calibri" w:hAnsi="Calibri"/>
                <w:b/>
                <w:bCs/>
                <w:color w:val="auto"/>
                <w:sz w:val="18"/>
                <w:szCs w:val="18"/>
              </w:rPr>
            </w:pPr>
            <w:r w:rsidRPr="002F1FCA">
              <w:rPr>
                <w:rFonts w:ascii="Calibri" w:hAnsi="Calibri"/>
                <w:b/>
                <w:bCs/>
                <w:color w:val="auto"/>
                <w:sz w:val="18"/>
                <w:szCs w:val="18"/>
              </w:rPr>
              <w:t>2.656.957,48</w:t>
            </w:r>
          </w:p>
        </w:tc>
        <w:tc>
          <w:tcPr>
            <w:tcW w:w="2126" w:type="dxa"/>
            <w:tcBorders>
              <w:top w:val="nil"/>
              <w:left w:val="nil"/>
              <w:bottom w:val="single" w:sz="4" w:space="0" w:color="auto"/>
              <w:right w:val="single" w:sz="4" w:space="0" w:color="auto"/>
            </w:tcBorders>
            <w:shd w:val="clear" w:color="000000" w:fill="8DB4E2"/>
            <w:noWrap/>
            <w:vAlign w:val="center"/>
            <w:hideMark/>
          </w:tcPr>
          <w:p w:rsidR="005934B2" w:rsidRPr="002F1FCA" w:rsidRDefault="005934B2" w:rsidP="000366C5">
            <w:pPr>
              <w:jc w:val="center"/>
              <w:rPr>
                <w:rFonts w:ascii="Calibri" w:hAnsi="Calibri"/>
                <w:b/>
                <w:bCs/>
                <w:sz w:val="18"/>
                <w:szCs w:val="18"/>
              </w:rPr>
            </w:pPr>
            <w:r w:rsidRPr="002F1FCA">
              <w:rPr>
                <w:rFonts w:ascii="Calibri" w:hAnsi="Calibri"/>
                <w:b/>
                <w:bCs/>
                <w:sz w:val="18"/>
                <w:szCs w:val="18"/>
              </w:rPr>
              <w:t>100,00%</w:t>
            </w:r>
          </w:p>
        </w:tc>
      </w:tr>
    </w:tbl>
    <w:p w:rsidR="005934B2" w:rsidRDefault="005934B2" w:rsidP="00A401F8">
      <w:pPr>
        <w:rPr>
          <w:rFonts w:asciiTheme="minorHAnsi" w:hAnsiTheme="minorHAnsi"/>
          <w:sz w:val="20"/>
          <w:szCs w:val="20"/>
          <w:lang w:val="sr-Cyrl-CS" w:eastAsia="sr-Cyrl-CS"/>
        </w:rPr>
      </w:pPr>
    </w:p>
    <w:p w:rsidR="005934B2" w:rsidRDefault="005934B2" w:rsidP="00A401F8">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U strukturi rashoda ostvarenih tokom 2024. godine dominantn</w:t>
      </w:r>
      <w:r>
        <w:rPr>
          <w:rFonts w:asciiTheme="minorHAnsi" w:hAnsiTheme="minorHAnsi"/>
          <w:color w:val="auto"/>
          <w:sz w:val="20"/>
          <w:szCs w:val="20"/>
          <w:lang w:val="sr-Cyrl-CS" w:eastAsia="sr-Cyrl-CS"/>
        </w:rPr>
        <w:t>o učešće imaju troškovi zarada,</w:t>
      </w:r>
      <w:r w:rsidRPr="00822ECE">
        <w:rPr>
          <w:rFonts w:asciiTheme="minorHAnsi" w:hAnsiTheme="minorHAnsi"/>
          <w:color w:val="auto"/>
          <w:sz w:val="20"/>
          <w:szCs w:val="20"/>
          <w:lang w:val="sr-Cyrl-CS" w:eastAsia="sr-Cyrl-CS"/>
        </w:rPr>
        <w:t xml:space="preserve"> naknada zarada</w:t>
      </w:r>
      <w:r>
        <w:rPr>
          <w:rFonts w:asciiTheme="minorHAnsi" w:hAnsiTheme="minorHAnsi"/>
          <w:color w:val="auto"/>
          <w:sz w:val="20"/>
          <w:szCs w:val="20"/>
          <w:lang w:val="sr-Cyrl-CS" w:eastAsia="sr-Cyrl-CS"/>
        </w:rPr>
        <w:t xml:space="preserve"> i ostalih ličnih rashoda</w:t>
      </w:r>
      <w:r w:rsidRPr="00822ECE">
        <w:rPr>
          <w:rFonts w:asciiTheme="minorHAnsi" w:hAnsiTheme="minorHAnsi"/>
          <w:color w:val="auto"/>
          <w:sz w:val="20"/>
          <w:szCs w:val="20"/>
          <w:lang w:val="sr-Cyrl-CS" w:eastAsia="sr-Cyrl-CS"/>
        </w:rPr>
        <w:t>. Ovi troškovi čine nešto više od polovine ostvarenih rashoda u posmatranoj godini (</w:t>
      </w:r>
      <w:r>
        <w:rPr>
          <w:rFonts w:asciiTheme="minorHAnsi" w:hAnsiTheme="minorHAnsi"/>
          <w:color w:val="auto"/>
          <w:sz w:val="20"/>
          <w:szCs w:val="20"/>
          <w:lang w:val="sr-Cyrl-CS" w:eastAsia="sr-Cyrl-CS"/>
        </w:rPr>
        <w:t>54,46</w:t>
      </w:r>
      <w:r w:rsidRPr="00822ECE">
        <w:rPr>
          <w:rFonts w:asciiTheme="minorHAnsi" w:hAnsiTheme="minorHAnsi"/>
          <w:color w:val="auto"/>
          <w:sz w:val="20"/>
          <w:szCs w:val="20"/>
          <w:lang w:val="sr-Cyrl-CS" w:eastAsia="sr-Cyrl-CS"/>
        </w:rPr>
        <w:t xml:space="preserve">%). </w:t>
      </w:r>
    </w:p>
    <w:p w:rsidR="005934B2" w:rsidRDefault="005934B2" w:rsidP="00A401F8">
      <w:pPr>
        <w:rPr>
          <w:rFonts w:asciiTheme="minorHAnsi" w:hAnsiTheme="minorHAnsi"/>
          <w:color w:val="auto"/>
          <w:sz w:val="20"/>
          <w:szCs w:val="20"/>
          <w:lang w:val="sr-Cyrl-CS" w:eastAsia="sr-Cyrl-CS"/>
        </w:rPr>
      </w:pPr>
    </w:p>
    <w:p w:rsidR="005934B2" w:rsidRDefault="005934B2" w:rsidP="00A401F8">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 xml:space="preserve">Na drugom mjestu se nalaze rashodi rezervisanja po vanbilansnoj aktivi sa učešćem od 13,56%. </w:t>
      </w:r>
    </w:p>
    <w:p w:rsidR="005934B2" w:rsidRDefault="005934B2" w:rsidP="00A401F8">
      <w:pPr>
        <w:rPr>
          <w:rFonts w:asciiTheme="minorHAnsi" w:hAnsiTheme="minorHAnsi"/>
          <w:color w:val="auto"/>
          <w:sz w:val="20"/>
          <w:szCs w:val="20"/>
          <w:lang w:val="sr-Cyrl-CS" w:eastAsia="sr-Cyrl-CS"/>
        </w:rPr>
      </w:pPr>
    </w:p>
    <w:p w:rsidR="005934B2" w:rsidRDefault="005934B2" w:rsidP="00A401F8">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 xml:space="preserve">Na trećem mjestu su gubici po osnovu prestanka priznavanja finansijskih instrumenata sa učešćem 7,70%, a na četvrtom mjestu nematerijalni troškovi sa približno istim učešćem u ukupnim rashodima. </w:t>
      </w:r>
    </w:p>
    <w:p w:rsidR="005934B2" w:rsidRPr="00822ECE" w:rsidRDefault="005934B2" w:rsidP="00A401F8">
      <w:pPr>
        <w:rPr>
          <w:rFonts w:asciiTheme="minorHAnsi" w:hAnsiTheme="minorHAnsi"/>
          <w:color w:val="auto"/>
          <w:sz w:val="20"/>
          <w:szCs w:val="20"/>
          <w:lang w:val="sr-Cyrl-CS" w:eastAsia="sr-Cyrl-CS"/>
        </w:rPr>
      </w:pPr>
    </w:p>
    <w:p w:rsidR="005934B2" w:rsidRPr="00822ECE" w:rsidRDefault="005934B2" w:rsidP="00A401F8">
      <w:pPr>
        <w:rPr>
          <w:rFonts w:asciiTheme="minorHAnsi" w:hAnsiTheme="minorHAnsi"/>
          <w:color w:val="auto"/>
          <w:sz w:val="20"/>
          <w:szCs w:val="20"/>
          <w:lang w:val="sr-Cyrl-CS" w:eastAsia="sr-Cyrl-CS"/>
        </w:rPr>
      </w:pPr>
      <w:r w:rsidRPr="00822ECE">
        <w:rPr>
          <w:rFonts w:asciiTheme="minorHAnsi" w:hAnsiTheme="minorHAnsi"/>
          <w:color w:val="auto"/>
          <w:sz w:val="20"/>
          <w:szCs w:val="20"/>
          <w:lang w:val="sr-Cyrl-CS" w:eastAsia="sr-Cyrl-CS"/>
        </w:rPr>
        <w:t xml:space="preserve">Ove </w:t>
      </w:r>
      <w:r>
        <w:rPr>
          <w:rFonts w:asciiTheme="minorHAnsi" w:hAnsiTheme="minorHAnsi"/>
          <w:color w:val="auto"/>
          <w:sz w:val="20"/>
          <w:szCs w:val="20"/>
          <w:lang w:val="sr-Cyrl-CS" w:eastAsia="sr-Cyrl-CS"/>
        </w:rPr>
        <w:t>četiri</w:t>
      </w:r>
      <w:r w:rsidRPr="00822ECE">
        <w:rPr>
          <w:rFonts w:asciiTheme="minorHAnsi" w:hAnsiTheme="minorHAnsi"/>
          <w:color w:val="auto"/>
          <w:sz w:val="20"/>
          <w:szCs w:val="20"/>
          <w:lang w:val="sr-Cyrl-CS" w:eastAsia="sr-Cyrl-CS"/>
        </w:rPr>
        <w:t xml:space="preserve"> grupe troškova čine </w:t>
      </w:r>
      <w:r>
        <w:rPr>
          <w:rFonts w:asciiTheme="minorHAnsi" w:hAnsiTheme="minorHAnsi"/>
          <w:color w:val="auto"/>
          <w:sz w:val="20"/>
          <w:szCs w:val="20"/>
          <w:lang w:val="sr-Cyrl-CS" w:eastAsia="sr-Cyrl-CS"/>
        </w:rPr>
        <w:t>82,80</w:t>
      </w:r>
      <w:r w:rsidRPr="00822ECE">
        <w:rPr>
          <w:rFonts w:asciiTheme="minorHAnsi" w:hAnsiTheme="minorHAnsi"/>
          <w:color w:val="auto"/>
          <w:sz w:val="20"/>
          <w:szCs w:val="20"/>
          <w:lang w:val="sr-Cyrl-CS" w:eastAsia="sr-Cyrl-CS"/>
        </w:rPr>
        <w:t xml:space="preserve">% svih ostvarenih rashoda u 2024. godini, dok ostali troškovi pobrojani u tabeli imaju vrlo malo pojedinačno učešće, a zbirno čine </w:t>
      </w:r>
      <w:r>
        <w:rPr>
          <w:rFonts w:asciiTheme="minorHAnsi" w:hAnsiTheme="minorHAnsi"/>
          <w:color w:val="auto"/>
          <w:sz w:val="20"/>
          <w:szCs w:val="20"/>
          <w:lang w:val="sr-Cyrl-CS" w:eastAsia="sr-Cyrl-CS"/>
        </w:rPr>
        <w:t>manje od petine</w:t>
      </w:r>
      <w:r w:rsidRPr="00822ECE">
        <w:rPr>
          <w:rFonts w:asciiTheme="minorHAnsi" w:hAnsiTheme="minorHAnsi"/>
          <w:color w:val="auto"/>
          <w:sz w:val="20"/>
          <w:szCs w:val="20"/>
          <w:lang w:val="sr-Cyrl-CS" w:eastAsia="sr-Cyrl-CS"/>
        </w:rPr>
        <w:t xml:space="preserve"> ukupno ostvarenih rashoda Garantnog fonda u 2024. godini.</w:t>
      </w: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FF0000"/>
          <w:sz w:val="20"/>
          <w:szCs w:val="20"/>
          <w:lang w:val="sr-Cyrl-CS" w:eastAsia="sr-Cyrl-CS"/>
        </w:rPr>
      </w:pPr>
    </w:p>
    <w:p w:rsidR="005934B2" w:rsidRDefault="005934B2" w:rsidP="00A401F8">
      <w:pPr>
        <w:rPr>
          <w:rFonts w:asciiTheme="minorHAnsi" w:hAnsiTheme="minorHAnsi"/>
          <w:color w:val="000000" w:themeColor="text1"/>
          <w:sz w:val="20"/>
          <w:szCs w:val="20"/>
          <w:lang w:val="sr-Cyrl-CS" w:eastAsia="sr-Cyrl-CS"/>
        </w:rPr>
      </w:pPr>
    </w:p>
    <w:p w:rsidR="005934B2" w:rsidRPr="008B5A35" w:rsidRDefault="005934B2" w:rsidP="00A401F8">
      <w:pPr>
        <w:rPr>
          <w:rFonts w:asciiTheme="minorHAnsi" w:hAnsiTheme="minorHAnsi"/>
          <w:color w:val="000000" w:themeColor="text1"/>
          <w:sz w:val="20"/>
          <w:szCs w:val="20"/>
          <w:lang w:val="sr-Cyrl-CS" w:eastAsia="sr-Cyrl-CS"/>
        </w:rPr>
      </w:pPr>
    </w:p>
    <w:p w:rsidR="005934B2" w:rsidRPr="008B5A35" w:rsidRDefault="005934B2" w:rsidP="00A401F8">
      <w:pPr>
        <w:pStyle w:val="Heading2"/>
        <w:numPr>
          <w:ilvl w:val="0"/>
          <w:numId w:val="0"/>
        </w:numPr>
        <w:rPr>
          <w:rFonts w:asciiTheme="minorHAnsi" w:hAnsiTheme="minorHAnsi"/>
          <w:color w:val="000000" w:themeColor="text1"/>
          <w:szCs w:val="20"/>
        </w:rPr>
      </w:pPr>
      <w:bookmarkStart w:id="14" w:name="_Toc135292177"/>
      <w:r w:rsidRPr="008B5A35">
        <w:rPr>
          <w:rFonts w:asciiTheme="minorHAnsi" w:hAnsiTheme="minorHAnsi"/>
          <w:color w:val="000000" w:themeColor="text1"/>
          <w:szCs w:val="20"/>
          <w:lang w:val="sr-Cyrl-BA"/>
        </w:rPr>
        <w:t>3.3. OSTVARENI FINANSIJSKI REZULTAT  U 202</w:t>
      </w:r>
      <w:r w:rsidRPr="008B5A35">
        <w:rPr>
          <w:rFonts w:asciiTheme="minorHAnsi" w:hAnsiTheme="minorHAnsi"/>
          <w:color w:val="000000" w:themeColor="text1"/>
          <w:szCs w:val="20"/>
          <w:lang w:val="sr-Cyrl-RS"/>
        </w:rPr>
        <w:t>4</w:t>
      </w:r>
      <w:r w:rsidRPr="008B5A35">
        <w:rPr>
          <w:rFonts w:asciiTheme="minorHAnsi" w:hAnsiTheme="minorHAnsi"/>
          <w:color w:val="000000" w:themeColor="text1"/>
          <w:szCs w:val="20"/>
          <w:lang w:val="sr-Cyrl-BA"/>
        </w:rPr>
        <w:t>. GODIN</w:t>
      </w:r>
      <w:bookmarkEnd w:id="14"/>
      <w:r w:rsidRPr="008B5A35">
        <w:rPr>
          <w:rFonts w:asciiTheme="minorHAnsi" w:hAnsiTheme="minorHAnsi"/>
          <w:color w:val="000000" w:themeColor="text1"/>
          <w:szCs w:val="20"/>
          <w:lang w:val="sr-Cyrl-BA"/>
        </w:rPr>
        <w:t>I</w:t>
      </w:r>
    </w:p>
    <w:p w:rsidR="005934B2" w:rsidRPr="005767EF" w:rsidRDefault="005934B2" w:rsidP="00A401F8">
      <w:pPr>
        <w:pStyle w:val="Heading2"/>
        <w:numPr>
          <w:ilvl w:val="0"/>
          <w:numId w:val="0"/>
        </w:numPr>
        <w:rPr>
          <w:rFonts w:asciiTheme="minorHAnsi" w:hAnsiTheme="minorHAnsi"/>
          <w:szCs w:val="20"/>
        </w:rPr>
      </w:pPr>
    </w:p>
    <w:p w:rsidR="005934B2" w:rsidRPr="00EE16CE" w:rsidRDefault="005934B2" w:rsidP="00A401F8">
      <w:pPr>
        <w:jc w:val="center"/>
        <w:rPr>
          <w:rFonts w:asciiTheme="minorHAnsi" w:hAnsiTheme="minorHAnsi"/>
          <w:b/>
          <w:sz w:val="20"/>
          <w:szCs w:val="20"/>
          <w:lang w:val="sr-Cyrl-RS" w:eastAsia="sr-Cyrl-CS"/>
        </w:rPr>
      </w:pPr>
      <w:r w:rsidRPr="005767EF">
        <w:rPr>
          <w:rFonts w:asciiTheme="minorHAnsi" w:hAnsiTheme="minorHAnsi"/>
          <w:b/>
          <w:sz w:val="20"/>
          <w:szCs w:val="20"/>
          <w:lang w:val="sr-Latn-BA" w:eastAsia="sr-Cyrl-CS"/>
        </w:rPr>
        <w:t xml:space="preserve">Pregled </w:t>
      </w:r>
      <w:r w:rsidRPr="005767EF">
        <w:rPr>
          <w:rFonts w:asciiTheme="minorHAnsi" w:hAnsiTheme="minorHAnsi"/>
          <w:b/>
          <w:sz w:val="20"/>
          <w:szCs w:val="20"/>
          <w:lang w:val="sr-Cyrl-BA" w:eastAsia="sr-Cyrl-CS"/>
        </w:rPr>
        <w:t>finansijskog rezultata</w:t>
      </w:r>
      <w:r w:rsidRPr="005767EF">
        <w:rPr>
          <w:rFonts w:asciiTheme="minorHAnsi" w:hAnsiTheme="minorHAnsi"/>
          <w:b/>
          <w:sz w:val="20"/>
          <w:szCs w:val="20"/>
          <w:lang w:val="sr-Latn-BA" w:eastAsia="sr-Cyrl-CS"/>
        </w:rPr>
        <w:t xml:space="preserve"> </w:t>
      </w:r>
      <w:r>
        <w:rPr>
          <w:rFonts w:asciiTheme="minorHAnsi" w:hAnsiTheme="minorHAnsi"/>
          <w:b/>
          <w:sz w:val="20"/>
          <w:szCs w:val="20"/>
          <w:lang w:val="sr-Cyrl-RS" w:eastAsia="sr-Cyrl-CS"/>
        </w:rPr>
        <w:t>u</w:t>
      </w:r>
      <w:r w:rsidRPr="005767EF">
        <w:rPr>
          <w:rFonts w:asciiTheme="minorHAnsi" w:hAnsiTheme="minorHAnsi"/>
          <w:b/>
          <w:sz w:val="20"/>
          <w:szCs w:val="20"/>
          <w:lang w:val="sr-Latn-BA" w:eastAsia="sr-Cyrl-CS"/>
        </w:rPr>
        <w:t xml:space="preserve"> 202</w:t>
      </w:r>
      <w:r>
        <w:rPr>
          <w:rFonts w:asciiTheme="minorHAnsi" w:hAnsiTheme="minorHAnsi"/>
          <w:b/>
          <w:sz w:val="20"/>
          <w:szCs w:val="20"/>
          <w:lang w:val="sr-Cyrl-BA" w:eastAsia="sr-Cyrl-CS"/>
        </w:rPr>
        <w:t>4</w:t>
      </w:r>
      <w:r w:rsidRPr="005767EF">
        <w:rPr>
          <w:rFonts w:asciiTheme="minorHAnsi" w:hAnsiTheme="minorHAnsi"/>
          <w:b/>
          <w:sz w:val="20"/>
          <w:szCs w:val="20"/>
          <w:lang w:val="sr-Latn-BA" w:eastAsia="sr-Cyrl-CS"/>
        </w:rPr>
        <w:t>. godin</w:t>
      </w:r>
      <w:r>
        <w:rPr>
          <w:rFonts w:asciiTheme="minorHAnsi" w:hAnsiTheme="minorHAnsi"/>
          <w:b/>
          <w:sz w:val="20"/>
          <w:szCs w:val="20"/>
          <w:lang w:val="sr-Cyrl-RS" w:eastAsia="sr-Cyrl-CS"/>
        </w:rPr>
        <w:t>i</w:t>
      </w:r>
    </w:p>
    <w:p w:rsidR="005934B2" w:rsidRPr="005767EF" w:rsidRDefault="005934B2" w:rsidP="00A401F8">
      <w:pPr>
        <w:jc w:val="right"/>
        <w:rPr>
          <w:rFonts w:asciiTheme="minorHAnsi" w:hAnsiTheme="minorHAnsi"/>
          <w:sz w:val="20"/>
          <w:szCs w:val="20"/>
          <w:lang w:val="sr-Cyrl-CS" w:eastAsia="sr-Cyrl-CS"/>
        </w:rPr>
      </w:pPr>
      <w:r>
        <w:rPr>
          <w:rFonts w:asciiTheme="minorHAnsi" w:eastAsia="Calibri" w:hAnsiTheme="minorHAnsi"/>
          <w:b/>
          <w:color w:val="auto"/>
          <w:sz w:val="20"/>
          <w:szCs w:val="20"/>
          <w:lang w:val="sr-Cyrl-BA" w:eastAsia="en-US"/>
        </w:rPr>
        <w:t>Tabela 20</w:t>
      </w:r>
    </w:p>
    <w:tbl>
      <w:tblPr>
        <w:tblW w:w="8804" w:type="dxa"/>
        <w:tblInd w:w="93" w:type="dxa"/>
        <w:tblLook w:val="04A0" w:firstRow="1" w:lastRow="0" w:firstColumn="1" w:lastColumn="0" w:noHBand="0" w:noVBand="1"/>
      </w:tblPr>
      <w:tblGrid>
        <w:gridCol w:w="3559"/>
        <w:gridCol w:w="1843"/>
        <w:gridCol w:w="1843"/>
        <w:gridCol w:w="1559"/>
      </w:tblGrid>
      <w:tr w:rsidR="005934B2" w:rsidRPr="00411A65" w:rsidTr="000366C5">
        <w:trPr>
          <w:trHeight w:val="435"/>
        </w:trPr>
        <w:tc>
          <w:tcPr>
            <w:tcW w:w="3559" w:type="dxa"/>
            <w:vMerge w:val="restart"/>
            <w:tcBorders>
              <w:top w:val="single" w:sz="8" w:space="0" w:color="auto"/>
              <w:left w:val="single" w:sz="8" w:space="0" w:color="auto"/>
              <w:bottom w:val="single" w:sz="8" w:space="0" w:color="000000"/>
              <w:right w:val="single" w:sz="8" w:space="0" w:color="auto"/>
            </w:tcBorders>
            <w:shd w:val="clear" w:color="000000" w:fill="8DB3E2"/>
            <w:noWrap/>
            <w:vAlign w:val="center"/>
            <w:hideMark/>
          </w:tcPr>
          <w:p w:rsidR="005934B2" w:rsidRPr="00411A65" w:rsidRDefault="005934B2" w:rsidP="000366C5">
            <w:pPr>
              <w:jc w:val="center"/>
              <w:rPr>
                <w:rFonts w:ascii="Calibri" w:hAnsi="Calibri"/>
                <w:b/>
                <w:bCs/>
                <w:sz w:val="20"/>
                <w:szCs w:val="20"/>
              </w:rPr>
            </w:pPr>
            <w:r w:rsidRPr="00411A65">
              <w:rPr>
                <w:rFonts w:ascii="Calibri" w:hAnsi="Calibri"/>
                <w:b/>
                <w:bCs/>
                <w:sz w:val="20"/>
                <w:szCs w:val="20"/>
                <w:lang w:val="en-US"/>
              </w:rPr>
              <w:t>Opis</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8DB3E2"/>
            <w:vAlign w:val="center"/>
            <w:hideMark/>
          </w:tcPr>
          <w:p w:rsidR="005934B2" w:rsidRPr="00411A65" w:rsidRDefault="005934B2" w:rsidP="000366C5">
            <w:pPr>
              <w:jc w:val="center"/>
              <w:rPr>
                <w:rFonts w:ascii="Calibri" w:hAnsi="Calibri"/>
                <w:b/>
                <w:bCs/>
                <w:sz w:val="20"/>
                <w:szCs w:val="20"/>
              </w:rPr>
            </w:pPr>
            <w:r w:rsidRPr="00411A65">
              <w:rPr>
                <w:rFonts w:ascii="Calibri" w:hAnsi="Calibri"/>
                <w:b/>
                <w:bCs/>
                <w:sz w:val="20"/>
                <w:szCs w:val="20"/>
                <w:lang w:val="sr-Cyrl-BA"/>
              </w:rPr>
              <w:t>Planirano 2024. godine</w:t>
            </w:r>
          </w:p>
        </w:tc>
        <w:tc>
          <w:tcPr>
            <w:tcW w:w="1843" w:type="dxa"/>
            <w:tcBorders>
              <w:top w:val="single" w:sz="8" w:space="0" w:color="auto"/>
              <w:left w:val="nil"/>
              <w:bottom w:val="nil"/>
              <w:right w:val="single" w:sz="8" w:space="0" w:color="auto"/>
            </w:tcBorders>
            <w:shd w:val="clear" w:color="000000" w:fill="8DB3E2"/>
            <w:noWrap/>
            <w:vAlign w:val="center"/>
            <w:hideMark/>
          </w:tcPr>
          <w:p w:rsidR="005934B2" w:rsidRPr="00411A65" w:rsidRDefault="005934B2" w:rsidP="000366C5">
            <w:pPr>
              <w:jc w:val="center"/>
              <w:rPr>
                <w:rFonts w:ascii="Calibri" w:hAnsi="Calibri"/>
                <w:b/>
                <w:bCs/>
                <w:sz w:val="20"/>
                <w:szCs w:val="20"/>
              </w:rPr>
            </w:pPr>
            <w:r w:rsidRPr="00411A65">
              <w:rPr>
                <w:rFonts w:ascii="Calibri" w:hAnsi="Calibri"/>
                <w:b/>
                <w:bCs/>
                <w:sz w:val="20"/>
                <w:szCs w:val="20"/>
                <w:lang w:val="sr-Cyrl-BA"/>
              </w:rPr>
              <w:t xml:space="preserve">Ostvareno </w:t>
            </w:r>
          </w:p>
        </w:tc>
        <w:tc>
          <w:tcPr>
            <w:tcW w:w="1559" w:type="dxa"/>
            <w:vMerge w:val="restart"/>
            <w:tcBorders>
              <w:top w:val="single" w:sz="8" w:space="0" w:color="auto"/>
              <w:left w:val="single" w:sz="8" w:space="0" w:color="auto"/>
              <w:bottom w:val="single" w:sz="8" w:space="0" w:color="000000"/>
              <w:right w:val="single" w:sz="8" w:space="0" w:color="auto"/>
            </w:tcBorders>
            <w:shd w:val="clear" w:color="000000" w:fill="8DB3E2"/>
            <w:vAlign w:val="center"/>
            <w:hideMark/>
          </w:tcPr>
          <w:p w:rsidR="005934B2" w:rsidRPr="00411A65" w:rsidRDefault="005934B2" w:rsidP="000366C5">
            <w:pPr>
              <w:jc w:val="center"/>
              <w:rPr>
                <w:rFonts w:ascii="Calibri" w:hAnsi="Calibri"/>
                <w:b/>
                <w:bCs/>
                <w:sz w:val="20"/>
                <w:szCs w:val="20"/>
              </w:rPr>
            </w:pPr>
            <w:r w:rsidRPr="00411A65">
              <w:rPr>
                <w:rFonts w:ascii="Calibri" w:hAnsi="Calibri"/>
                <w:b/>
                <w:bCs/>
                <w:sz w:val="20"/>
                <w:szCs w:val="20"/>
                <w:lang w:val="sr-Cyrl-BA"/>
              </w:rPr>
              <w:t>Indeks</w:t>
            </w:r>
          </w:p>
        </w:tc>
      </w:tr>
      <w:tr w:rsidR="005934B2" w:rsidRPr="00411A65" w:rsidTr="000366C5">
        <w:trPr>
          <w:trHeight w:val="330"/>
        </w:trPr>
        <w:tc>
          <w:tcPr>
            <w:tcW w:w="3559" w:type="dxa"/>
            <w:vMerge/>
            <w:tcBorders>
              <w:top w:val="single" w:sz="8" w:space="0" w:color="auto"/>
              <w:left w:val="single" w:sz="8" w:space="0" w:color="auto"/>
              <w:bottom w:val="single" w:sz="8" w:space="0" w:color="000000"/>
              <w:right w:val="single" w:sz="8" w:space="0" w:color="auto"/>
            </w:tcBorders>
            <w:vAlign w:val="center"/>
            <w:hideMark/>
          </w:tcPr>
          <w:p w:rsidR="005934B2" w:rsidRPr="00411A65" w:rsidRDefault="005934B2" w:rsidP="000366C5">
            <w:pPr>
              <w:jc w:val="left"/>
              <w:rPr>
                <w:rFonts w:ascii="Calibri" w:hAnsi="Calibri"/>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5934B2" w:rsidRPr="00411A65" w:rsidRDefault="005934B2" w:rsidP="000366C5">
            <w:pPr>
              <w:jc w:val="left"/>
              <w:rPr>
                <w:rFonts w:ascii="Calibri" w:hAnsi="Calibri"/>
                <w:b/>
                <w:bCs/>
                <w:sz w:val="20"/>
                <w:szCs w:val="20"/>
              </w:rPr>
            </w:pPr>
          </w:p>
        </w:tc>
        <w:tc>
          <w:tcPr>
            <w:tcW w:w="1843" w:type="dxa"/>
            <w:tcBorders>
              <w:top w:val="nil"/>
              <w:left w:val="nil"/>
              <w:bottom w:val="single" w:sz="8" w:space="0" w:color="auto"/>
              <w:right w:val="single" w:sz="8" w:space="0" w:color="auto"/>
            </w:tcBorders>
            <w:shd w:val="clear" w:color="000000" w:fill="8DB3E2"/>
            <w:noWrap/>
            <w:vAlign w:val="center"/>
            <w:hideMark/>
          </w:tcPr>
          <w:p w:rsidR="005934B2" w:rsidRPr="00411A65" w:rsidRDefault="005934B2" w:rsidP="000366C5">
            <w:pPr>
              <w:jc w:val="center"/>
              <w:rPr>
                <w:rFonts w:ascii="Calibri" w:hAnsi="Calibri"/>
                <w:b/>
                <w:bCs/>
                <w:sz w:val="20"/>
                <w:szCs w:val="20"/>
              </w:rPr>
            </w:pPr>
            <w:r w:rsidRPr="00411A65">
              <w:rPr>
                <w:rFonts w:ascii="Calibri" w:hAnsi="Calibri"/>
                <w:b/>
                <w:bCs/>
                <w:sz w:val="20"/>
                <w:szCs w:val="20"/>
                <w:lang w:val="sr-Cyrl-BA"/>
              </w:rPr>
              <w:t>2024. godine</w:t>
            </w:r>
          </w:p>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934B2" w:rsidRPr="00411A65" w:rsidRDefault="005934B2" w:rsidP="000366C5">
            <w:pPr>
              <w:jc w:val="left"/>
              <w:rPr>
                <w:rFonts w:ascii="Calibri" w:hAnsi="Calibri"/>
                <w:b/>
                <w:bCs/>
                <w:sz w:val="20"/>
                <w:szCs w:val="20"/>
              </w:rPr>
            </w:pPr>
          </w:p>
        </w:tc>
      </w:tr>
      <w:tr w:rsidR="005934B2" w:rsidRPr="00411A65" w:rsidTr="000366C5">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5934B2" w:rsidRPr="00411A65" w:rsidRDefault="005934B2" w:rsidP="000366C5">
            <w:pPr>
              <w:jc w:val="left"/>
              <w:rPr>
                <w:rFonts w:ascii="Calibri" w:hAnsi="Calibri"/>
                <w:b/>
                <w:bCs/>
                <w:sz w:val="20"/>
                <w:szCs w:val="20"/>
              </w:rPr>
            </w:pPr>
            <w:r w:rsidRPr="00411A65">
              <w:rPr>
                <w:rFonts w:ascii="Calibri" w:hAnsi="Calibri"/>
                <w:b/>
                <w:bCs/>
                <w:sz w:val="20"/>
                <w:szCs w:val="20"/>
                <w:lang w:val="en-US"/>
              </w:rPr>
              <w:t>Ukupni prihodi</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2.460.000,00</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1.670.371,79</w:t>
            </w:r>
          </w:p>
        </w:tc>
        <w:tc>
          <w:tcPr>
            <w:tcW w:w="1559"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67,90</w:t>
            </w:r>
          </w:p>
        </w:tc>
      </w:tr>
      <w:tr w:rsidR="005934B2" w:rsidRPr="00411A65" w:rsidTr="000366C5">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5934B2" w:rsidRPr="00411A65" w:rsidRDefault="005934B2" w:rsidP="000366C5">
            <w:pPr>
              <w:jc w:val="left"/>
              <w:rPr>
                <w:rFonts w:ascii="Calibri" w:hAnsi="Calibri"/>
                <w:sz w:val="20"/>
                <w:szCs w:val="20"/>
              </w:rPr>
            </w:pPr>
            <w:r w:rsidRPr="00411A65">
              <w:rPr>
                <w:rFonts w:ascii="Calibri" w:hAnsi="Calibri"/>
                <w:sz w:val="20"/>
                <w:szCs w:val="20"/>
                <w:lang w:val="en-US"/>
              </w:rPr>
              <w:t>Prihodi iz redovne djelatnosti</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sz w:val="20"/>
                <w:szCs w:val="20"/>
              </w:rPr>
            </w:pPr>
            <w:r w:rsidRPr="00411A65">
              <w:rPr>
                <w:rFonts w:ascii="Calibri" w:hAnsi="Calibri"/>
                <w:sz w:val="20"/>
                <w:szCs w:val="20"/>
                <w:lang w:val="sr-Cyrl-BA"/>
              </w:rPr>
              <w:t>2.110.000,00</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color w:val="auto"/>
                <w:sz w:val="20"/>
                <w:szCs w:val="20"/>
              </w:rPr>
            </w:pPr>
            <w:r w:rsidRPr="00411A65">
              <w:rPr>
                <w:rFonts w:ascii="Calibri" w:hAnsi="Calibri"/>
                <w:color w:val="auto"/>
                <w:sz w:val="20"/>
                <w:szCs w:val="20"/>
                <w:lang w:val="sr-Cyrl-BA"/>
              </w:rPr>
              <w:t>1.049.976,43</w:t>
            </w:r>
          </w:p>
        </w:tc>
        <w:tc>
          <w:tcPr>
            <w:tcW w:w="1559" w:type="dxa"/>
            <w:tcBorders>
              <w:top w:val="nil"/>
              <w:left w:val="nil"/>
              <w:bottom w:val="single" w:sz="8" w:space="0" w:color="auto"/>
              <w:right w:val="single" w:sz="8" w:space="0" w:color="auto"/>
            </w:tcBorders>
            <w:shd w:val="clear" w:color="000000" w:fill="FFFFFF"/>
            <w:vAlign w:val="center"/>
            <w:hideMark/>
          </w:tcPr>
          <w:p w:rsidR="005934B2" w:rsidRPr="003F77E8" w:rsidRDefault="005934B2" w:rsidP="000366C5">
            <w:pPr>
              <w:jc w:val="right"/>
              <w:rPr>
                <w:rFonts w:ascii="Calibri" w:hAnsi="Calibri"/>
                <w:bCs/>
                <w:sz w:val="20"/>
                <w:szCs w:val="20"/>
              </w:rPr>
            </w:pPr>
            <w:r w:rsidRPr="003F77E8">
              <w:rPr>
                <w:rFonts w:ascii="Calibri" w:hAnsi="Calibri"/>
                <w:bCs/>
                <w:sz w:val="20"/>
                <w:szCs w:val="20"/>
                <w:lang w:val="sr-Cyrl-BA"/>
              </w:rPr>
              <w:t>49,76</w:t>
            </w:r>
          </w:p>
        </w:tc>
      </w:tr>
      <w:tr w:rsidR="005934B2" w:rsidRPr="00411A65" w:rsidTr="000366C5">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5934B2" w:rsidRPr="00411A65" w:rsidRDefault="005934B2" w:rsidP="000366C5">
            <w:pPr>
              <w:jc w:val="left"/>
              <w:rPr>
                <w:rFonts w:ascii="Calibri" w:hAnsi="Calibri"/>
                <w:sz w:val="20"/>
                <w:szCs w:val="20"/>
              </w:rPr>
            </w:pPr>
            <w:r w:rsidRPr="00411A65">
              <w:rPr>
                <w:rFonts w:ascii="Calibri" w:hAnsi="Calibri"/>
                <w:sz w:val="20"/>
                <w:szCs w:val="20"/>
                <w:lang w:val="en-US"/>
              </w:rPr>
              <w:t>Prihodi od ukidanja rezervisanja</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sz w:val="20"/>
                <w:szCs w:val="20"/>
              </w:rPr>
            </w:pPr>
            <w:r w:rsidRPr="00411A65">
              <w:rPr>
                <w:rFonts w:ascii="Calibri" w:hAnsi="Calibri"/>
                <w:sz w:val="20"/>
                <w:szCs w:val="20"/>
                <w:lang w:val="sr-Cyrl-BA"/>
              </w:rPr>
              <w:t>350.000,00</w:t>
            </w:r>
          </w:p>
        </w:tc>
        <w:tc>
          <w:tcPr>
            <w:tcW w:w="1843" w:type="dxa"/>
            <w:tcBorders>
              <w:top w:val="nil"/>
              <w:left w:val="nil"/>
              <w:bottom w:val="single" w:sz="8" w:space="0" w:color="auto"/>
              <w:right w:val="single" w:sz="8" w:space="0" w:color="auto"/>
            </w:tcBorders>
            <w:shd w:val="clear" w:color="000000" w:fill="FFFFFF"/>
            <w:noWrap/>
            <w:vAlign w:val="center"/>
            <w:hideMark/>
          </w:tcPr>
          <w:p w:rsidR="005934B2" w:rsidRPr="00411A65" w:rsidRDefault="005934B2" w:rsidP="000366C5">
            <w:pPr>
              <w:jc w:val="right"/>
              <w:rPr>
                <w:rFonts w:ascii="Calibri" w:hAnsi="Calibri"/>
                <w:color w:val="auto"/>
                <w:sz w:val="20"/>
                <w:szCs w:val="20"/>
              </w:rPr>
            </w:pPr>
            <w:r w:rsidRPr="00411A65">
              <w:rPr>
                <w:rFonts w:ascii="Calibri" w:hAnsi="Calibri"/>
                <w:color w:val="auto"/>
                <w:sz w:val="20"/>
                <w:szCs w:val="20"/>
                <w:lang w:val="sr-Cyrl-BA"/>
              </w:rPr>
              <w:t>620.395,36</w:t>
            </w:r>
          </w:p>
        </w:tc>
        <w:tc>
          <w:tcPr>
            <w:tcW w:w="1559" w:type="dxa"/>
            <w:tcBorders>
              <w:top w:val="nil"/>
              <w:left w:val="nil"/>
              <w:bottom w:val="single" w:sz="8" w:space="0" w:color="auto"/>
              <w:right w:val="single" w:sz="8" w:space="0" w:color="auto"/>
            </w:tcBorders>
            <w:shd w:val="clear" w:color="000000" w:fill="FFFFFF"/>
            <w:vAlign w:val="center"/>
            <w:hideMark/>
          </w:tcPr>
          <w:p w:rsidR="005934B2" w:rsidRPr="003F77E8" w:rsidRDefault="005934B2" w:rsidP="000366C5">
            <w:pPr>
              <w:jc w:val="right"/>
              <w:rPr>
                <w:rFonts w:ascii="Calibri" w:hAnsi="Calibri"/>
                <w:bCs/>
                <w:sz w:val="20"/>
                <w:szCs w:val="20"/>
              </w:rPr>
            </w:pPr>
            <w:r w:rsidRPr="003F77E8">
              <w:rPr>
                <w:rFonts w:ascii="Calibri" w:hAnsi="Calibri"/>
                <w:bCs/>
                <w:sz w:val="20"/>
                <w:szCs w:val="20"/>
                <w:lang w:val="sr-Cyrl-BA"/>
              </w:rPr>
              <w:t>177,26</w:t>
            </w:r>
          </w:p>
        </w:tc>
      </w:tr>
      <w:tr w:rsidR="005934B2" w:rsidRPr="00411A65" w:rsidTr="000366C5">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5934B2" w:rsidRPr="00411A65" w:rsidRDefault="005934B2" w:rsidP="000366C5">
            <w:pPr>
              <w:jc w:val="left"/>
              <w:rPr>
                <w:rFonts w:ascii="Calibri" w:hAnsi="Calibri"/>
                <w:b/>
                <w:bCs/>
                <w:sz w:val="20"/>
                <w:szCs w:val="20"/>
              </w:rPr>
            </w:pPr>
            <w:r w:rsidRPr="00411A65">
              <w:rPr>
                <w:rFonts w:ascii="Calibri" w:hAnsi="Calibri"/>
                <w:b/>
                <w:bCs/>
                <w:sz w:val="20"/>
                <w:szCs w:val="20"/>
                <w:lang w:val="en-US"/>
              </w:rPr>
              <w:t>Ukupni rashodi</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2.419.133,00</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2.656.957,48</w:t>
            </w:r>
          </w:p>
        </w:tc>
        <w:tc>
          <w:tcPr>
            <w:tcW w:w="1559"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109,83</w:t>
            </w:r>
          </w:p>
        </w:tc>
      </w:tr>
      <w:tr w:rsidR="005934B2" w:rsidRPr="00411A65" w:rsidTr="000366C5">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5934B2" w:rsidRPr="00411A65" w:rsidRDefault="005934B2" w:rsidP="000366C5">
            <w:pPr>
              <w:jc w:val="left"/>
              <w:rPr>
                <w:rFonts w:ascii="Calibri" w:hAnsi="Calibri"/>
                <w:sz w:val="20"/>
                <w:szCs w:val="20"/>
              </w:rPr>
            </w:pPr>
            <w:r w:rsidRPr="00411A65">
              <w:rPr>
                <w:rFonts w:ascii="Calibri" w:hAnsi="Calibri"/>
                <w:sz w:val="20"/>
                <w:szCs w:val="20"/>
                <w:lang w:val="en-US"/>
              </w:rPr>
              <w:t>Troškovi poslovanja</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sz w:val="20"/>
                <w:szCs w:val="20"/>
              </w:rPr>
            </w:pPr>
            <w:r w:rsidRPr="00411A65">
              <w:rPr>
                <w:rFonts w:ascii="Calibri" w:hAnsi="Calibri"/>
                <w:sz w:val="20"/>
                <w:szCs w:val="20"/>
                <w:lang w:val="sr-Cyrl-BA"/>
              </w:rPr>
              <w:t>2.194.133,00</w:t>
            </w:r>
          </w:p>
        </w:tc>
        <w:tc>
          <w:tcPr>
            <w:tcW w:w="1843" w:type="dxa"/>
            <w:tcBorders>
              <w:top w:val="nil"/>
              <w:left w:val="nil"/>
              <w:bottom w:val="single" w:sz="8" w:space="0" w:color="auto"/>
              <w:right w:val="single" w:sz="8" w:space="0" w:color="auto"/>
            </w:tcBorders>
            <w:shd w:val="clear" w:color="000000" w:fill="FFFFFF"/>
            <w:noWrap/>
            <w:vAlign w:val="center"/>
            <w:hideMark/>
          </w:tcPr>
          <w:p w:rsidR="005934B2" w:rsidRPr="004A36D0" w:rsidRDefault="005934B2" w:rsidP="000366C5">
            <w:pPr>
              <w:jc w:val="right"/>
              <w:rPr>
                <w:rFonts w:ascii="Calibri" w:hAnsi="Calibri"/>
                <w:color w:val="000000" w:themeColor="text1"/>
                <w:sz w:val="20"/>
                <w:szCs w:val="20"/>
              </w:rPr>
            </w:pPr>
            <w:r w:rsidRPr="004A36D0">
              <w:rPr>
                <w:rFonts w:ascii="Calibri" w:hAnsi="Calibri"/>
                <w:bCs/>
                <w:sz w:val="18"/>
                <w:szCs w:val="18"/>
              </w:rPr>
              <w:t>1.835.519,90</w:t>
            </w:r>
          </w:p>
        </w:tc>
        <w:tc>
          <w:tcPr>
            <w:tcW w:w="1559" w:type="dxa"/>
            <w:tcBorders>
              <w:top w:val="nil"/>
              <w:left w:val="nil"/>
              <w:bottom w:val="single" w:sz="8" w:space="0" w:color="auto"/>
              <w:right w:val="single" w:sz="8" w:space="0" w:color="auto"/>
            </w:tcBorders>
            <w:shd w:val="clear" w:color="000000" w:fill="FFFFFF"/>
            <w:vAlign w:val="center"/>
            <w:hideMark/>
          </w:tcPr>
          <w:p w:rsidR="005934B2" w:rsidRPr="003F77E8" w:rsidRDefault="005934B2" w:rsidP="000366C5">
            <w:pPr>
              <w:jc w:val="right"/>
              <w:rPr>
                <w:rFonts w:ascii="Calibri" w:hAnsi="Calibri"/>
                <w:bCs/>
                <w:sz w:val="20"/>
                <w:szCs w:val="20"/>
              </w:rPr>
            </w:pPr>
            <w:r w:rsidRPr="003F77E8">
              <w:rPr>
                <w:rFonts w:ascii="Calibri" w:hAnsi="Calibri"/>
                <w:bCs/>
                <w:sz w:val="20"/>
                <w:szCs w:val="20"/>
                <w:lang w:val="sr-Cyrl-RS"/>
              </w:rPr>
              <w:t>83,65</w:t>
            </w:r>
          </w:p>
        </w:tc>
      </w:tr>
      <w:tr w:rsidR="005934B2" w:rsidRPr="00411A65" w:rsidTr="000366C5">
        <w:trPr>
          <w:trHeight w:val="330"/>
        </w:trPr>
        <w:tc>
          <w:tcPr>
            <w:tcW w:w="3559" w:type="dxa"/>
            <w:tcBorders>
              <w:top w:val="nil"/>
              <w:left w:val="single" w:sz="8" w:space="0" w:color="auto"/>
              <w:bottom w:val="single" w:sz="8" w:space="0" w:color="auto"/>
              <w:right w:val="single" w:sz="8" w:space="0" w:color="auto"/>
            </w:tcBorders>
            <w:shd w:val="clear" w:color="000000" w:fill="FFFFFF"/>
            <w:noWrap/>
            <w:vAlign w:val="center"/>
            <w:hideMark/>
          </w:tcPr>
          <w:p w:rsidR="005934B2" w:rsidRPr="00411A65" w:rsidRDefault="005934B2" w:rsidP="000366C5">
            <w:pPr>
              <w:jc w:val="left"/>
              <w:rPr>
                <w:rFonts w:ascii="Calibri" w:hAnsi="Calibri"/>
                <w:sz w:val="20"/>
                <w:szCs w:val="20"/>
              </w:rPr>
            </w:pPr>
            <w:r w:rsidRPr="00411A65">
              <w:rPr>
                <w:rFonts w:ascii="Calibri" w:hAnsi="Calibri"/>
                <w:sz w:val="20"/>
                <w:szCs w:val="20"/>
                <w:lang w:val="sr-Cyrl-RS"/>
              </w:rPr>
              <w:t xml:space="preserve">Rashodi </w:t>
            </w:r>
          </w:p>
        </w:tc>
        <w:tc>
          <w:tcPr>
            <w:tcW w:w="1843" w:type="dxa"/>
            <w:tcBorders>
              <w:top w:val="nil"/>
              <w:left w:val="nil"/>
              <w:bottom w:val="single" w:sz="8" w:space="0" w:color="auto"/>
              <w:right w:val="single" w:sz="8" w:space="0" w:color="auto"/>
            </w:tcBorders>
            <w:shd w:val="clear" w:color="000000" w:fill="FFFFFF"/>
            <w:vAlign w:val="center"/>
            <w:hideMark/>
          </w:tcPr>
          <w:p w:rsidR="005934B2" w:rsidRPr="00411A65" w:rsidRDefault="005934B2" w:rsidP="000366C5">
            <w:pPr>
              <w:jc w:val="right"/>
              <w:rPr>
                <w:rFonts w:ascii="Calibri" w:hAnsi="Calibri"/>
                <w:sz w:val="20"/>
                <w:szCs w:val="20"/>
              </w:rPr>
            </w:pPr>
            <w:r w:rsidRPr="00411A65">
              <w:rPr>
                <w:rFonts w:ascii="Calibri" w:hAnsi="Calibri"/>
                <w:sz w:val="20"/>
                <w:szCs w:val="20"/>
                <w:lang w:val="sr-Cyrl-BA"/>
              </w:rPr>
              <w:t>225.000,00</w:t>
            </w:r>
          </w:p>
        </w:tc>
        <w:tc>
          <w:tcPr>
            <w:tcW w:w="1843" w:type="dxa"/>
            <w:tcBorders>
              <w:top w:val="nil"/>
              <w:left w:val="nil"/>
              <w:bottom w:val="single" w:sz="8" w:space="0" w:color="auto"/>
              <w:right w:val="single" w:sz="8" w:space="0" w:color="auto"/>
            </w:tcBorders>
            <w:shd w:val="clear" w:color="000000" w:fill="FFFFFF"/>
            <w:noWrap/>
            <w:vAlign w:val="center"/>
            <w:hideMark/>
          </w:tcPr>
          <w:p w:rsidR="005934B2" w:rsidRPr="008B5A35" w:rsidRDefault="005934B2" w:rsidP="000366C5">
            <w:pPr>
              <w:jc w:val="right"/>
              <w:rPr>
                <w:rFonts w:ascii="Calibri" w:hAnsi="Calibri"/>
                <w:color w:val="000000" w:themeColor="text1"/>
                <w:sz w:val="20"/>
                <w:szCs w:val="20"/>
              </w:rPr>
            </w:pPr>
            <w:r>
              <w:rPr>
                <w:rFonts w:ascii="Calibri" w:hAnsi="Calibri"/>
                <w:color w:val="000000" w:themeColor="text1"/>
                <w:sz w:val="20"/>
                <w:szCs w:val="20"/>
                <w:lang w:val="sr-Cyrl-BA"/>
              </w:rPr>
              <w:t>821.437,58</w:t>
            </w:r>
          </w:p>
        </w:tc>
        <w:tc>
          <w:tcPr>
            <w:tcW w:w="1559" w:type="dxa"/>
            <w:tcBorders>
              <w:top w:val="nil"/>
              <w:left w:val="nil"/>
              <w:bottom w:val="single" w:sz="8" w:space="0" w:color="auto"/>
              <w:right w:val="single" w:sz="8" w:space="0" w:color="auto"/>
            </w:tcBorders>
            <w:shd w:val="clear" w:color="000000" w:fill="FFFFFF"/>
            <w:vAlign w:val="center"/>
            <w:hideMark/>
          </w:tcPr>
          <w:p w:rsidR="005934B2" w:rsidRPr="003F77E8" w:rsidRDefault="005934B2" w:rsidP="000366C5">
            <w:pPr>
              <w:jc w:val="right"/>
              <w:rPr>
                <w:rFonts w:ascii="Calibri" w:hAnsi="Calibri"/>
                <w:bCs/>
                <w:sz w:val="20"/>
                <w:szCs w:val="20"/>
              </w:rPr>
            </w:pPr>
            <w:r w:rsidRPr="003F77E8">
              <w:rPr>
                <w:rFonts w:ascii="Calibri" w:hAnsi="Calibri"/>
                <w:bCs/>
                <w:sz w:val="20"/>
                <w:szCs w:val="20"/>
                <w:lang w:val="sr-Cyrl-RS"/>
              </w:rPr>
              <w:t>365,08</w:t>
            </w:r>
          </w:p>
        </w:tc>
      </w:tr>
      <w:tr w:rsidR="005934B2" w:rsidRPr="00411A65" w:rsidTr="000366C5">
        <w:trPr>
          <w:trHeight w:val="330"/>
        </w:trPr>
        <w:tc>
          <w:tcPr>
            <w:tcW w:w="3559" w:type="dxa"/>
            <w:tcBorders>
              <w:top w:val="nil"/>
              <w:left w:val="single" w:sz="8" w:space="0" w:color="auto"/>
              <w:bottom w:val="single" w:sz="8" w:space="0" w:color="auto"/>
              <w:right w:val="single" w:sz="8" w:space="0" w:color="auto"/>
            </w:tcBorders>
            <w:shd w:val="clear" w:color="000000" w:fill="8DB3E2"/>
            <w:noWrap/>
            <w:vAlign w:val="center"/>
            <w:hideMark/>
          </w:tcPr>
          <w:p w:rsidR="005934B2" w:rsidRPr="00411A65" w:rsidRDefault="005934B2" w:rsidP="000366C5">
            <w:pPr>
              <w:jc w:val="left"/>
              <w:rPr>
                <w:rFonts w:ascii="Calibri" w:hAnsi="Calibri"/>
                <w:b/>
                <w:bCs/>
                <w:sz w:val="20"/>
                <w:szCs w:val="20"/>
              </w:rPr>
            </w:pPr>
            <w:r w:rsidRPr="00411A65">
              <w:rPr>
                <w:rFonts w:ascii="Calibri" w:hAnsi="Calibri"/>
                <w:b/>
                <w:bCs/>
                <w:sz w:val="20"/>
                <w:szCs w:val="20"/>
                <w:lang w:val="sr-Cyrl-BA"/>
              </w:rPr>
              <w:t>Dobit/Gubitak</w:t>
            </w:r>
          </w:p>
        </w:tc>
        <w:tc>
          <w:tcPr>
            <w:tcW w:w="1843" w:type="dxa"/>
            <w:tcBorders>
              <w:top w:val="nil"/>
              <w:left w:val="nil"/>
              <w:bottom w:val="single" w:sz="8" w:space="0" w:color="auto"/>
              <w:right w:val="single" w:sz="8" w:space="0" w:color="auto"/>
            </w:tcBorders>
            <w:shd w:val="clear" w:color="000000" w:fill="8DB3E2"/>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40.867,00</w:t>
            </w:r>
          </w:p>
        </w:tc>
        <w:tc>
          <w:tcPr>
            <w:tcW w:w="1843" w:type="dxa"/>
            <w:tcBorders>
              <w:top w:val="nil"/>
              <w:left w:val="nil"/>
              <w:bottom w:val="single" w:sz="8" w:space="0" w:color="auto"/>
              <w:right w:val="single" w:sz="8" w:space="0" w:color="auto"/>
            </w:tcBorders>
            <w:shd w:val="clear" w:color="000000" w:fill="8DB3E2"/>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lang w:val="sr-Cyrl-BA"/>
              </w:rPr>
              <w:t>-986.585,69</w:t>
            </w:r>
          </w:p>
        </w:tc>
        <w:tc>
          <w:tcPr>
            <w:tcW w:w="1559" w:type="dxa"/>
            <w:tcBorders>
              <w:top w:val="nil"/>
              <w:left w:val="nil"/>
              <w:bottom w:val="single" w:sz="8" w:space="0" w:color="auto"/>
              <w:right w:val="single" w:sz="8" w:space="0" w:color="auto"/>
            </w:tcBorders>
            <w:shd w:val="clear" w:color="000000" w:fill="8DB3E2"/>
            <w:vAlign w:val="center"/>
            <w:hideMark/>
          </w:tcPr>
          <w:p w:rsidR="005934B2" w:rsidRPr="00411A65" w:rsidRDefault="005934B2" w:rsidP="000366C5">
            <w:pPr>
              <w:jc w:val="right"/>
              <w:rPr>
                <w:rFonts w:ascii="Calibri" w:hAnsi="Calibri"/>
                <w:b/>
                <w:bCs/>
                <w:sz w:val="20"/>
                <w:szCs w:val="20"/>
              </w:rPr>
            </w:pPr>
            <w:r w:rsidRPr="00411A65">
              <w:rPr>
                <w:rFonts w:ascii="Calibri" w:hAnsi="Calibri"/>
                <w:b/>
                <w:bCs/>
                <w:sz w:val="20"/>
                <w:szCs w:val="20"/>
              </w:rPr>
              <w:t>0,00</w:t>
            </w:r>
          </w:p>
        </w:tc>
      </w:tr>
    </w:tbl>
    <w:p w:rsidR="005934B2" w:rsidRPr="005767EF" w:rsidRDefault="005934B2" w:rsidP="00A401F8">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r>
      <w:r w:rsidRPr="005767EF">
        <w:rPr>
          <w:rFonts w:asciiTheme="minorHAnsi" w:eastAsia="Calibri" w:hAnsiTheme="minorHAnsi"/>
          <w:color w:val="auto"/>
          <w:sz w:val="20"/>
          <w:szCs w:val="20"/>
          <w:lang w:val="en-GB" w:eastAsia="en-US"/>
        </w:rPr>
        <w:tab/>
        <w:t xml:space="preserve">      </w:t>
      </w:r>
      <w:r w:rsidRPr="005767EF">
        <w:rPr>
          <w:rFonts w:asciiTheme="minorHAnsi" w:eastAsia="Calibri" w:hAnsiTheme="minorHAnsi"/>
          <w:b/>
          <w:color w:val="auto"/>
          <w:sz w:val="20"/>
          <w:szCs w:val="20"/>
          <w:lang w:val="en-GB" w:eastAsia="en-US"/>
        </w:rPr>
        <w:t xml:space="preserve"> </w:t>
      </w:r>
      <w:r>
        <w:rPr>
          <w:rFonts w:asciiTheme="minorHAnsi" w:eastAsia="Calibri" w:hAnsiTheme="minorHAnsi"/>
          <w:b/>
          <w:color w:val="auto"/>
          <w:sz w:val="20"/>
          <w:szCs w:val="20"/>
          <w:lang w:val="sr-Cyrl-RS" w:eastAsia="en-US"/>
        </w:rPr>
        <w:t xml:space="preserve">       </w:t>
      </w:r>
    </w:p>
    <w:p w:rsidR="005934B2" w:rsidRPr="003D0D57" w:rsidRDefault="005934B2" w:rsidP="00A401F8">
      <w:pPr>
        <w:jc w:val="left"/>
        <w:rPr>
          <w:rFonts w:asciiTheme="minorHAnsi" w:eastAsia="Calibri" w:hAnsiTheme="minorHAnsi"/>
          <w:b/>
          <w:color w:val="auto"/>
          <w:sz w:val="20"/>
          <w:szCs w:val="20"/>
          <w:lang w:val="en-GB" w:eastAsia="en-US"/>
        </w:rPr>
      </w:pPr>
    </w:p>
    <w:p w:rsidR="005934B2" w:rsidRPr="00575C8E" w:rsidRDefault="005934B2" w:rsidP="00A401F8">
      <w:pPr>
        <w:rPr>
          <w:rFonts w:asciiTheme="minorHAnsi" w:eastAsia="Calibri" w:hAnsiTheme="minorHAnsi"/>
          <w:color w:val="auto"/>
          <w:sz w:val="20"/>
          <w:szCs w:val="20"/>
          <w:lang w:val="sr-Cyrl-BA" w:eastAsia="en-US"/>
        </w:rPr>
      </w:pPr>
      <w:r w:rsidRPr="00575C8E">
        <w:rPr>
          <w:rFonts w:asciiTheme="minorHAnsi" w:eastAsia="Calibri" w:hAnsiTheme="minorHAnsi"/>
          <w:color w:val="auto"/>
          <w:sz w:val="20"/>
          <w:szCs w:val="20"/>
          <w:lang w:val="sr-Cyrl-RS" w:eastAsia="en-US"/>
        </w:rPr>
        <w:t>Garantni f</w:t>
      </w:r>
      <w:r w:rsidRPr="00575C8E">
        <w:rPr>
          <w:rFonts w:asciiTheme="minorHAnsi" w:eastAsia="Calibri" w:hAnsiTheme="minorHAnsi"/>
          <w:color w:val="auto"/>
          <w:sz w:val="20"/>
          <w:szCs w:val="20"/>
          <w:lang w:val="en-GB" w:eastAsia="en-US"/>
        </w:rPr>
        <w:t xml:space="preserve">ond </w:t>
      </w:r>
      <w:r>
        <w:rPr>
          <w:rFonts w:asciiTheme="minorHAnsi" w:eastAsia="Calibri" w:hAnsiTheme="minorHAnsi"/>
          <w:color w:val="auto"/>
          <w:sz w:val="20"/>
          <w:szCs w:val="20"/>
          <w:lang w:val="sr-Cyrl-RS" w:eastAsia="en-US"/>
        </w:rPr>
        <w:t>je</w:t>
      </w:r>
      <w:r w:rsidRPr="00575C8E">
        <w:rPr>
          <w:rFonts w:asciiTheme="minorHAnsi" w:eastAsia="Calibri" w:hAnsiTheme="minorHAnsi"/>
          <w:color w:val="auto"/>
          <w:sz w:val="20"/>
          <w:szCs w:val="20"/>
          <w:lang w:val="en-GB" w:eastAsia="en-US"/>
        </w:rPr>
        <w:t xml:space="preserve"> </w:t>
      </w:r>
      <w:r>
        <w:rPr>
          <w:rFonts w:asciiTheme="minorHAnsi" w:eastAsia="Calibri" w:hAnsiTheme="minorHAnsi"/>
          <w:color w:val="auto"/>
          <w:sz w:val="20"/>
          <w:szCs w:val="20"/>
          <w:lang w:val="sr-Cyrl-RS" w:eastAsia="en-US"/>
        </w:rPr>
        <w:t xml:space="preserve">u </w:t>
      </w:r>
      <w:r w:rsidRPr="00575C8E">
        <w:rPr>
          <w:rFonts w:asciiTheme="minorHAnsi" w:eastAsia="Calibri" w:hAnsiTheme="minorHAnsi"/>
          <w:color w:val="auto"/>
          <w:sz w:val="20"/>
          <w:szCs w:val="20"/>
          <w:lang w:val="en-GB" w:eastAsia="en-US"/>
        </w:rPr>
        <w:t>202</w:t>
      </w:r>
      <w:r w:rsidRPr="00575C8E">
        <w:rPr>
          <w:rFonts w:asciiTheme="minorHAnsi" w:eastAsia="Calibri" w:hAnsiTheme="minorHAnsi"/>
          <w:color w:val="auto"/>
          <w:sz w:val="20"/>
          <w:szCs w:val="20"/>
          <w:lang w:val="sr-Cyrl-BA" w:eastAsia="en-US"/>
        </w:rPr>
        <w:t>4</w:t>
      </w:r>
      <w:r w:rsidRPr="00575C8E">
        <w:rPr>
          <w:rFonts w:asciiTheme="minorHAnsi" w:eastAsia="Calibri" w:hAnsiTheme="minorHAnsi"/>
          <w:color w:val="auto"/>
          <w:sz w:val="20"/>
          <w:szCs w:val="20"/>
          <w:lang w:val="en-GB" w:eastAsia="en-US"/>
        </w:rPr>
        <w:t>. godini</w:t>
      </w:r>
      <w:r w:rsidRPr="00575C8E">
        <w:rPr>
          <w:rFonts w:asciiTheme="minorHAnsi" w:eastAsia="Calibri" w:hAnsiTheme="minorHAnsi"/>
          <w:color w:val="auto"/>
          <w:sz w:val="20"/>
          <w:szCs w:val="20"/>
          <w:lang w:val="sr-Cyrl-BA" w:eastAsia="en-US"/>
        </w:rPr>
        <w:t xml:space="preserve"> ostvario </w:t>
      </w:r>
      <w:r>
        <w:rPr>
          <w:rFonts w:asciiTheme="minorHAnsi" w:eastAsia="Calibri" w:hAnsiTheme="minorHAnsi"/>
          <w:color w:val="auto"/>
          <w:sz w:val="20"/>
          <w:szCs w:val="20"/>
          <w:lang w:val="sr-Cyrl-BA" w:eastAsia="en-US"/>
        </w:rPr>
        <w:t xml:space="preserve">ukupne prihode u iznosu od 1.670.371,79 KM i ukupne rashode u iznosu od 2.656.957,48 KM. Fond je poslovao negativno, sa gubitkom u iznosu od </w:t>
      </w:r>
      <w:r w:rsidRPr="00575C8E">
        <w:rPr>
          <w:rFonts w:asciiTheme="minorHAnsi" w:eastAsia="Calibri" w:hAnsiTheme="minorHAnsi"/>
          <w:color w:val="auto"/>
          <w:sz w:val="20"/>
          <w:szCs w:val="20"/>
          <w:lang w:val="sr-Cyrl-BA" w:eastAsia="en-US"/>
        </w:rPr>
        <w:t xml:space="preserve"> 9</w:t>
      </w:r>
      <w:r w:rsidRPr="00575C8E">
        <w:rPr>
          <w:rFonts w:asciiTheme="minorHAnsi" w:eastAsia="Calibri" w:hAnsiTheme="minorHAnsi"/>
          <w:color w:val="auto"/>
          <w:sz w:val="20"/>
          <w:szCs w:val="20"/>
          <w:lang w:eastAsia="en-US"/>
        </w:rPr>
        <w:t>86</w:t>
      </w:r>
      <w:r w:rsidRPr="00575C8E">
        <w:rPr>
          <w:rFonts w:asciiTheme="minorHAnsi" w:eastAsia="Calibri" w:hAnsiTheme="minorHAnsi"/>
          <w:color w:val="auto"/>
          <w:sz w:val="20"/>
          <w:szCs w:val="20"/>
          <w:lang w:val="sr-Cyrl-BA" w:eastAsia="en-US"/>
        </w:rPr>
        <w:t xml:space="preserve">.585,69 KM. </w:t>
      </w:r>
      <w:r>
        <w:rPr>
          <w:rFonts w:asciiTheme="minorHAnsi" w:eastAsia="Calibri" w:hAnsiTheme="minorHAnsi"/>
          <w:color w:val="auto"/>
          <w:sz w:val="20"/>
          <w:szCs w:val="20"/>
          <w:lang w:val="sr-Cyrl-BA" w:eastAsia="en-US"/>
        </w:rPr>
        <w:t xml:space="preserve">Posmatrano u odnosu na prethodnu godinu, ukupni prihodi su povećani, a ukupni rashodi smanjeni, pa je u tom smislu finansijski rezultat poboljšan. </w:t>
      </w:r>
      <w:r w:rsidRPr="00575C8E">
        <w:rPr>
          <w:rFonts w:asciiTheme="minorHAnsi" w:eastAsia="Calibri" w:hAnsiTheme="minorHAnsi"/>
          <w:color w:val="auto"/>
          <w:sz w:val="20"/>
          <w:szCs w:val="20"/>
          <w:lang w:val="sr-Cyrl-BA" w:eastAsia="en-US"/>
        </w:rPr>
        <w:t xml:space="preserve">Ostvareni gubitak </w:t>
      </w:r>
      <w:r>
        <w:rPr>
          <w:rFonts w:asciiTheme="minorHAnsi" w:eastAsia="Calibri" w:hAnsiTheme="minorHAnsi"/>
          <w:color w:val="auto"/>
          <w:sz w:val="20"/>
          <w:szCs w:val="20"/>
          <w:lang w:val="sr-Cyrl-BA" w:eastAsia="en-US"/>
        </w:rPr>
        <w:t xml:space="preserve">u 2024. godini </w:t>
      </w:r>
      <w:r w:rsidRPr="00575C8E">
        <w:rPr>
          <w:rFonts w:asciiTheme="minorHAnsi" w:eastAsia="Calibri" w:hAnsiTheme="minorHAnsi"/>
          <w:color w:val="auto"/>
          <w:sz w:val="20"/>
          <w:szCs w:val="20"/>
          <w:lang w:val="sr-Cyrl-BA" w:eastAsia="en-US"/>
        </w:rPr>
        <w:t>je u direktnoj vezi sa neostvarenjem plana prihoda od izdanih garancija, odnosno neostvarenjem plana garancija po svim osnovama za datu godinu</w:t>
      </w:r>
      <w:r>
        <w:rPr>
          <w:rFonts w:asciiTheme="minorHAnsi" w:eastAsia="Calibri" w:hAnsiTheme="minorHAnsi"/>
          <w:color w:val="auto"/>
          <w:sz w:val="20"/>
          <w:szCs w:val="20"/>
          <w:lang w:val="sr-Cyrl-BA" w:eastAsia="en-US"/>
        </w:rPr>
        <w:t xml:space="preserve"> i</w:t>
      </w:r>
      <w:r w:rsidRPr="00575C8E">
        <w:rPr>
          <w:rFonts w:asciiTheme="minorHAnsi" w:eastAsia="Calibri" w:hAnsiTheme="minorHAnsi"/>
          <w:color w:val="auto"/>
          <w:sz w:val="20"/>
          <w:szCs w:val="20"/>
          <w:lang w:val="sr-Cyrl-BA" w:eastAsia="en-US"/>
        </w:rPr>
        <w:t xml:space="preserve"> rastom rashoda </w:t>
      </w:r>
      <w:r>
        <w:rPr>
          <w:rFonts w:asciiTheme="minorHAnsi" w:eastAsia="Calibri" w:hAnsiTheme="minorHAnsi"/>
          <w:color w:val="auto"/>
          <w:sz w:val="20"/>
          <w:szCs w:val="20"/>
          <w:lang w:val="sr-Cyrl-BA" w:eastAsia="en-US"/>
        </w:rPr>
        <w:t xml:space="preserve">uslijed događaja koji se nisu mogli predvidjeti. </w:t>
      </w:r>
    </w:p>
    <w:p w:rsidR="005934B2" w:rsidRDefault="005934B2" w:rsidP="00A401F8">
      <w:pPr>
        <w:rPr>
          <w:rFonts w:asciiTheme="minorHAnsi" w:eastAsia="Calibri" w:hAnsiTheme="minorHAnsi"/>
          <w:b/>
          <w:color w:val="auto"/>
          <w:sz w:val="20"/>
          <w:szCs w:val="20"/>
          <w:lang w:val="sr-Cyrl-BA" w:eastAsia="en-US"/>
        </w:rPr>
      </w:pPr>
    </w:p>
    <w:p w:rsidR="005934B2" w:rsidRPr="00575C8E" w:rsidRDefault="005934B2" w:rsidP="00A401F8">
      <w:pPr>
        <w:rPr>
          <w:rFonts w:asciiTheme="minorHAnsi" w:eastAsia="Calibri" w:hAnsiTheme="minorHAnsi"/>
          <w:color w:val="auto"/>
          <w:sz w:val="20"/>
          <w:szCs w:val="20"/>
          <w:lang w:val="sr-Cyrl-BA" w:eastAsia="en-US"/>
        </w:rPr>
      </w:pPr>
      <w:r w:rsidRPr="00575C8E">
        <w:rPr>
          <w:rFonts w:asciiTheme="minorHAnsi" w:eastAsia="Calibri" w:hAnsiTheme="minorHAnsi"/>
          <w:color w:val="auto"/>
          <w:sz w:val="20"/>
          <w:szCs w:val="20"/>
          <w:lang w:val="sr-Cyrl-BA" w:eastAsia="en-US"/>
        </w:rPr>
        <w:t>Smanjenje garantne aktivnosti u segmentu pojedinačnih garancija je trend koji se nastavio i u 2024. godini, a uzrokovan je potpunom orijentacijom finansijskih posrednika na izdavanje garancija u okviru kreditnog portf</w:t>
      </w:r>
      <w:r w:rsidRPr="00575C8E">
        <w:rPr>
          <w:rFonts w:asciiTheme="minorHAnsi" w:eastAsia="Calibri" w:hAnsiTheme="minorHAnsi"/>
          <w:color w:val="auto"/>
          <w:sz w:val="20"/>
          <w:szCs w:val="20"/>
          <w:lang w:eastAsia="en-US"/>
        </w:rPr>
        <w:t>e</w:t>
      </w:r>
      <w:r w:rsidRPr="00575C8E">
        <w:rPr>
          <w:rFonts w:asciiTheme="minorHAnsi" w:eastAsia="Calibri" w:hAnsiTheme="minorHAnsi"/>
          <w:color w:val="auto"/>
          <w:sz w:val="20"/>
          <w:szCs w:val="20"/>
          <w:lang w:val="sr-Cyrl-RS" w:eastAsia="en-US"/>
        </w:rPr>
        <w:t>lj</w:t>
      </w:r>
      <w:r w:rsidRPr="00575C8E">
        <w:rPr>
          <w:rFonts w:asciiTheme="minorHAnsi" w:eastAsia="Calibri" w:hAnsiTheme="minorHAnsi"/>
          <w:color w:val="auto"/>
          <w:sz w:val="20"/>
          <w:szCs w:val="20"/>
          <w:lang w:val="sr-Cyrl-BA" w:eastAsia="en-US"/>
        </w:rPr>
        <w:t>a. Iako su garancije na kreditni portfelj relativno nov proizvod, prikazani podaci pokazuju da garantna aktivnost u ovom segmentu raste iz godine u godinu. S obzirom da se tek očekuje uspostavljanje saradnje i sa drugim finansijskim posrednicima, realno je očekivati da će ovaj segment izdavanja garancija postati dominantan i donositi sve veće prihode.  Ukupni prihodi u 2024. god</w:t>
      </w:r>
      <w:r>
        <w:rPr>
          <w:rFonts w:asciiTheme="minorHAnsi" w:eastAsia="Calibri" w:hAnsiTheme="minorHAnsi"/>
          <w:color w:val="auto"/>
          <w:sz w:val="20"/>
          <w:szCs w:val="20"/>
          <w:lang w:val="sr-Cyrl-BA" w:eastAsia="en-US"/>
        </w:rPr>
        <w:t>i</w:t>
      </w:r>
      <w:r w:rsidRPr="00575C8E">
        <w:rPr>
          <w:rFonts w:asciiTheme="minorHAnsi" w:eastAsia="Calibri" w:hAnsiTheme="minorHAnsi"/>
          <w:color w:val="auto"/>
          <w:sz w:val="20"/>
          <w:szCs w:val="20"/>
          <w:lang w:val="sr-Cyrl-BA" w:eastAsia="en-US"/>
        </w:rPr>
        <w:t>ni iznose 1.670.371,79 KM i manji su za 32,10% u odnosu na planirani iznos</w:t>
      </w:r>
      <w:r>
        <w:rPr>
          <w:rFonts w:asciiTheme="minorHAnsi" w:eastAsia="Calibri" w:hAnsiTheme="minorHAnsi"/>
          <w:color w:val="auto"/>
          <w:sz w:val="20"/>
          <w:szCs w:val="20"/>
          <w:lang w:val="sr-Cyrl-BA" w:eastAsia="en-US"/>
        </w:rPr>
        <w:t xml:space="preserve"> zbog smanjenih prihoda iz redovne aktivnosti</w:t>
      </w:r>
      <w:r w:rsidRPr="00575C8E">
        <w:rPr>
          <w:rFonts w:asciiTheme="minorHAnsi" w:eastAsia="Calibri" w:hAnsiTheme="minorHAnsi"/>
          <w:color w:val="auto"/>
          <w:sz w:val="20"/>
          <w:szCs w:val="20"/>
          <w:lang w:val="sr-Cyrl-BA" w:eastAsia="en-US"/>
        </w:rPr>
        <w:t xml:space="preserve">. Ako posmatramo 2023. godinu, došlo je do rasta </w:t>
      </w:r>
      <w:r>
        <w:rPr>
          <w:rFonts w:asciiTheme="minorHAnsi" w:eastAsia="Calibri" w:hAnsiTheme="minorHAnsi"/>
          <w:color w:val="auto"/>
          <w:sz w:val="20"/>
          <w:szCs w:val="20"/>
          <w:lang w:val="sr-Cyrl-BA" w:eastAsia="en-US"/>
        </w:rPr>
        <w:t xml:space="preserve">ukupnih </w:t>
      </w:r>
      <w:r w:rsidRPr="00575C8E">
        <w:rPr>
          <w:rFonts w:asciiTheme="minorHAnsi" w:eastAsia="Calibri" w:hAnsiTheme="minorHAnsi"/>
          <w:color w:val="auto"/>
          <w:sz w:val="20"/>
          <w:szCs w:val="20"/>
          <w:lang w:val="sr-Cyrl-BA" w:eastAsia="en-US"/>
        </w:rPr>
        <w:t>prihoda, što pokazuje da je dio klijenata poboljšao finansijsku poziciju, pa je samim tim ostvaren veći prihod od ukidanja rezervisanja.</w:t>
      </w:r>
    </w:p>
    <w:p w:rsidR="005934B2" w:rsidRPr="003D0D57" w:rsidRDefault="005934B2" w:rsidP="00A401F8">
      <w:pPr>
        <w:rPr>
          <w:rFonts w:asciiTheme="minorHAnsi" w:eastAsia="Calibri" w:hAnsiTheme="minorHAnsi"/>
          <w:b/>
          <w:color w:val="auto"/>
          <w:sz w:val="20"/>
          <w:szCs w:val="20"/>
          <w:lang w:val="sr-Cyrl-BA" w:eastAsia="en-US"/>
        </w:rPr>
      </w:pPr>
    </w:p>
    <w:p w:rsidR="005934B2" w:rsidRDefault="005934B2" w:rsidP="00A401F8">
      <w:pPr>
        <w:rPr>
          <w:rFonts w:asciiTheme="minorHAnsi" w:hAnsiTheme="minorHAnsi"/>
          <w:color w:val="auto"/>
          <w:sz w:val="20"/>
          <w:szCs w:val="20"/>
          <w:lang w:val="sr-Cyrl-CS" w:eastAsia="sr-Cyrl-CS"/>
        </w:rPr>
      </w:pPr>
      <w:r w:rsidRPr="00320A3D">
        <w:rPr>
          <w:rFonts w:asciiTheme="minorHAnsi" w:eastAsia="Calibri" w:hAnsiTheme="minorHAnsi"/>
          <w:color w:val="auto"/>
          <w:sz w:val="20"/>
          <w:szCs w:val="20"/>
          <w:lang w:val="sr-Cyrl-BA" w:eastAsia="en-US"/>
        </w:rPr>
        <w:t xml:space="preserve">Iako je Fond </w:t>
      </w:r>
      <w:r>
        <w:rPr>
          <w:rFonts w:asciiTheme="minorHAnsi" w:eastAsia="Calibri" w:hAnsiTheme="minorHAnsi"/>
          <w:color w:val="auto"/>
          <w:sz w:val="20"/>
          <w:szCs w:val="20"/>
          <w:lang w:val="sr-Cyrl-BA" w:eastAsia="en-US"/>
        </w:rPr>
        <w:t>u 2024. godini imao manje</w:t>
      </w:r>
      <w:r w:rsidRPr="00320A3D">
        <w:rPr>
          <w:rFonts w:asciiTheme="minorHAnsi" w:eastAsia="Calibri" w:hAnsiTheme="minorHAnsi"/>
          <w:color w:val="auto"/>
          <w:sz w:val="20"/>
          <w:szCs w:val="20"/>
          <w:lang w:val="sr-Cyrl-BA" w:eastAsia="en-US"/>
        </w:rPr>
        <w:t xml:space="preserve"> troškove poslovanja </w:t>
      </w:r>
      <w:r>
        <w:rPr>
          <w:rFonts w:asciiTheme="minorHAnsi" w:eastAsia="Calibri" w:hAnsiTheme="minorHAnsi"/>
          <w:color w:val="auto"/>
          <w:sz w:val="20"/>
          <w:szCs w:val="20"/>
          <w:lang w:val="sr-Cyrl-BA" w:eastAsia="en-US"/>
        </w:rPr>
        <w:t xml:space="preserve">i </w:t>
      </w:r>
      <w:r w:rsidRPr="00320A3D">
        <w:rPr>
          <w:rFonts w:asciiTheme="minorHAnsi" w:eastAsia="Calibri" w:hAnsiTheme="minorHAnsi"/>
          <w:color w:val="auto"/>
          <w:sz w:val="20"/>
          <w:szCs w:val="20"/>
          <w:lang w:val="sr-Cyrl-BA" w:eastAsia="en-US"/>
        </w:rPr>
        <w:t xml:space="preserve">u odnosu na plan i u odnosu na 2023. godinu, višestruko povećanje </w:t>
      </w:r>
      <w:r>
        <w:rPr>
          <w:rFonts w:asciiTheme="minorHAnsi" w:eastAsia="Calibri" w:hAnsiTheme="minorHAnsi"/>
          <w:color w:val="auto"/>
          <w:sz w:val="20"/>
          <w:szCs w:val="20"/>
          <w:lang w:val="sr-Cyrl-BA" w:eastAsia="en-US"/>
        </w:rPr>
        <w:t xml:space="preserve">određenih stavki </w:t>
      </w:r>
      <w:r w:rsidRPr="00320A3D">
        <w:rPr>
          <w:rFonts w:asciiTheme="minorHAnsi" w:eastAsia="Calibri" w:hAnsiTheme="minorHAnsi"/>
          <w:color w:val="auto"/>
          <w:sz w:val="20"/>
          <w:szCs w:val="20"/>
          <w:lang w:val="sr-Cyrl-BA" w:eastAsia="en-US"/>
        </w:rPr>
        <w:t xml:space="preserve">rashoda je dovelo do značajnog rasta ukupnih rashoda, čime su premašeni ukupni prihodi i </w:t>
      </w:r>
      <w:r w:rsidRPr="008F42D1">
        <w:rPr>
          <w:rFonts w:asciiTheme="minorHAnsi" w:eastAsia="Calibri" w:hAnsiTheme="minorHAnsi"/>
          <w:color w:val="auto"/>
          <w:sz w:val="20"/>
          <w:szCs w:val="20"/>
          <w:lang w:val="sr-Cyrl-BA" w:eastAsia="en-US"/>
        </w:rPr>
        <w:t xml:space="preserve">ostvaren negativan finansijski rezultat. Rastu rashoda su najviše doprinijeli </w:t>
      </w:r>
      <w:r w:rsidRPr="008F42D1">
        <w:rPr>
          <w:rFonts w:asciiTheme="minorHAnsi" w:hAnsiTheme="minorHAnsi"/>
          <w:color w:val="auto"/>
          <w:sz w:val="20"/>
          <w:szCs w:val="20"/>
          <w:lang w:val="sr-Cyrl-CS" w:eastAsia="sr-Cyrl-CS"/>
        </w:rPr>
        <w:t xml:space="preserve">gubici po osnovu prodaje sredstava namijenjenih prodaji, te gubici po osnovu </w:t>
      </w:r>
      <w:r w:rsidRPr="008F42D1">
        <w:rPr>
          <w:rFonts w:asciiTheme="minorHAnsi" w:hAnsiTheme="minorHAnsi"/>
          <w:color w:val="auto"/>
          <w:sz w:val="20"/>
          <w:szCs w:val="20"/>
          <w:lang w:val="sr-Cyrl-RS" w:eastAsia="sr-Cyrl-CS"/>
        </w:rPr>
        <w:t>prestanka priznavanja hartija od vrijednosti</w:t>
      </w:r>
      <w:r>
        <w:rPr>
          <w:rFonts w:asciiTheme="minorHAnsi" w:hAnsiTheme="minorHAnsi"/>
          <w:color w:val="auto"/>
          <w:sz w:val="20"/>
          <w:szCs w:val="20"/>
          <w:lang w:val="sr-Cyrl-RS" w:eastAsia="sr-Cyrl-CS"/>
        </w:rPr>
        <w:t xml:space="preserve"> koje su kupljene po većoj vrijednosti od nominalne</w:t>
      </w:r>
      <w:r w:rsidRPr="008F42D1">
        <w:rPr>
          <w:rFonts w:asciiTheme="minorHAnsi" w:hAnsiTheme="minorHAnsi"/>
          <w:color w:val="auto"/>
          <w:sz w:val="20"/>
          <w:szCs w:val="20"/>
          <w:lang w:val="sr-Cyrl-CS" w:eastAsia="sr-Cyrl-CS"/>
        </w:rPr>
        <w:t xml:space="preserve">. Pored </w:t>
      </w:r>
      <w:r w:rsidRPr="00320A3D">
        <w:rPr>
          <w:rFonts w:asciiTheme="minorHAnsi" w:hAnsiTheme="minorHAnsi"/>
          <w:color w:val="auto"/>
          <w:sz w:val="20"/>
          <w:szCs w:val="20"/>
          <w:lang w:val="sr-Cyrl-CS" w:eastAsia="sr-Cyrl-CS"/>
        </w:rPr>
        <w:t xml:space="preserve">toga, </w:t>
      </w:r>
      <w:r>
        <w:rPr>
          <w:rFonts w:asciiTheme="minorHAnsi" w:hAnsiTheme="minorHAnsi"/>
          <w:color w:val="auto"/>
          <w:sz w:val="20"/>
          <w:szCs w:val="20"/>
          <w:lang w:val="sr-Cyrl-CS" w:eastAsia="sr-Cyrl-CS"/>
        </w:rPr>
        <w:t>procjenom ovlaštenog procjenitelj</w:t>
      </w:r>
      <w:r w:rsidRPr="00320A3D">
        <w:rPr>
          <w:rFonts w:asciiTheme="minorHAnsi" w:hAnsiTheme="minorHAnsi"/>
          <w:color w:val="auto"/>
          <w:sz w:val="20"/>
          <w:szCs w:val="20"/>
          <w:lang w:val="sr-Cyrl-CS" w:eastAsia="sr-Cyrl-CS"/>
        </w:rPr>
        <w:t>a je utvrđeno da je vrijednost potraživanja od Bobar banke-u likvidaciji manja za 178.723,98 KM, pa je otpis potraživanja u značajnoj mjeri opteretio rashode</w:t>
      </w:r>
      <w:r>
        <w:rPr>
          <w:rFonts w:asciiTheme="minorHAnsi" w:hAnsiTheme="minorHAnsi"/>
          <w:color w:val="auto"/>
          <w:sz w:val="20"/>
          <w:szCs w:val="20"/>
          <w:lang w:val="sr-Cyrl-CS" w:eastAsia="sr-Cyrl-CS"/>
        </w:rPr>
        <w:t xml:space="preserve"> posmatranog</w:t>
      </w:r>
      <w:r w:rsidRPr="00320A3D">
        <w:rPr>
          <w:rFonts w:asciiTheme="minorHAnsi" w:hAnsiTheme="minorHAnsi"/>
          <w:color w:val="auto"/>
          <w:sz w:val="20"/>
          <w:szCs w:val="20"/>
          <w:lang w:val="sr-Cyrl-CS" w:eastAsia="sr-Cyrl-CS"/>
        </w:rPr>
        <w:t xml:space="preserve"> perioda. </w:t>
      </w:r>
    </w:p>
    <w:p w:rsidR="005934B2" w:rsidRDefault="005934B2" w:rsidP="00A401F8">
      <w:pPr>
        <w:rPr>
          <w:rFonts w:asciiTheme="minorHAnsi" w:hAnsiTheme="minorHAnsi"/>
          <w:color w:val="auto"/>
          <w:sz w:val="20"/>
          <w:szCs w:val="20"/>
          <w:lang w:val="sr-Cyrl-CS" w:eastAsia="sr-Cyrl-CS"/>
        </w:rPr>
      </w:pPr>
    </w:p>
    <w:p w:rsidR="005934B2" w:rsidRDefault="005934B2" w:rsidP="00A401F8">
      <w:pPr>
        <w:rPr>
          <w:rFonts w:asciiTheme="minorHAnsi" w:eastAsia="Calibri" w:hAnsiTheme="minorHAnsi"/>
          <w:color w:val="auto"/>
          <w:sz w:val="20"/>
          <w:szCs w:val="20"/>
          <w:lang w:val="sr-Cyrl-BA" w:eastAsia="en-US"/>
        </w:rPr>
      </w:pPr>
      <w:r>
        <w:rPr>
          <w:rFonts w:asciiTheme="minorHAnsi" w:hAnsiTheme="minorHAnsi"/>
          <w:color w:val="auto"/>
          <w:sz w:val="20"/>
          <w:szCs w:val="20"/>
          <w:lang w:val="sr-Cyrl-CS" w:eastAsia="sr-Cyrl-CS"/>
        </w:rPr>
        <w:t xml:space="preserve">Rashodi rezervisanja su takođe ostvareni u znatno većem iznosu od planiranog, što je uzrokovano </w:t>
      </w:r>
      <w:r w:rsidRPr="00320A3D">
        <w:rPr>
          <w:rFonts w:asciiTheme="minorHAnsi" w:eastAsia="Calibri" w:hAnsiTheme="minorHAnsi"/>
          <w:color w:val="auto"/>
          <w:sz w:val="20"/>
          <w:szCs w:val="20"/>
          <w:lang w:val="sr-Cyrl-BA" w:eastAsia="en-US"/>
        </w:rPr>
        <w:t>pogoršanjem finansijskog položaja</w:t>
      </w:r>
      <w:r>
        <w:rPr>
          <w:rFonts w:asciiTheme="minorHAnsi" w:eastAsia="Calibri" w:hAnsiTheme="minorHAnsi"/>
          <w:color w:val="auto"/>
          <w:sz w:val="20"/>
          <w:szCs w:val="20"/>
          <w:lang w:val="sr-Cyrl-BA" w:eastAsia="en-US"/>
        </w:rPr>
        <w:t xml:space="preserve"> određenog broja klijenata Fonda i povećalo rizik neizmirenja obaveza.</w:t>
      </w:r>
      <w:r w:rsidRPr="00320A3D">
        <w:rPr>
          <w:rFonts w:asciiTheme="minorHAnsi" w:eastAsia="Calibri" w:hAnsiTheme="minorHAnsi"/>
          <w:color w:val="auto"/>
          <w:sz w:val="20"/>
          <w:szCs w:val="20"/>
          <w:lang w:val="sr-Cyrl-BA" w:eastAsia="en-US"/>
        </w:rPr>
        <w:t xml:space="preserve"> </w:t>
      </w:r>
      <w:r>
        <w:rPr>
          <w:rFonts w:asciiTheme="minorHAnsi" w:eastAsia="Calibri" w:hAnsiTheme="minorHAnsi"/>
          <w:color w:val="auto"/>
          <w:sz w:val="20"/>
          <w:szCs w:val="20"/>
          <w:lang w:val="sr-Cyrl-BA" w:eastAsia="en-US"/>
        </w:rPr>
        <w:t>Bitno je napomenuti da su rashodi rezervisanja obračunska kategorija i da se obračun vrši u skladu sa Međunarodnim standardom finansijskog izvještavanja 9. Ovaj standard predviđa obrač</w:t>
      </w:r>
      <w:r>
        <w:rPr>
          <w:rFonts w:asciiTheme="minorHAnsi" w:eastAsia="Calibri" w:hAnsiTheme="minorHAnsi"/>
          <w:color w:val="auto"/>
          <w:sz w:val="20"/>
          <w:szCs w:val="20"/>
          <w:lang w:val="sr-Cyrl-RS" w:eastAsia="en-US"/>
        </w:rPr>
        <w:t>un očekivanog kreditnog gubitka za sve izloženosti, uključujući i one</w:t>
      </w:r>
      <w:r>
        <w:rPr>
          <w:rFonts w:asciiTheme="minorHAnsi" w:eastAsia="Calibri" w:hAnsiTheme="minorHAnsi"/>
          <w:color w:val="auto"/>
          <w:sz w:val="20"/>
          <w:szCs w:val="20"/>
          <w:lang w:val="sr-Cyrl-BA" w:eastAsia="en-US"/>
        </w:rPr>
        <w:t xml:space="preserve"> klijente koji su u potpunosti uredni u otplati kredita ili imaju manje kašnjenje. U 2024. godini, u skladu sa MSFI 9, obračunato je više od 100.000,00 KM rashoda rezervisanja za klijente koji se nalaze u kategorijama</w:t>
      </w:r>
      <w:r>
        <w:rPr>
          <w:rFonts w:asciiTheme="minorHAnsi" w:eastAsia="Calibri" w:hAnsiTheme="minorHAnsi"/>
          <w:color w:val="auto"/>
          <w:sz w:val="20"/>
          <w:szCs w:val="20"/>
          <w:lang w:eastAsia="en-US"/>
        </w:rPr>
        <w:t xml:space="preserve"> S1 i S2.</w:t>
      </w:r>
      <w:r>
        <w:rPr>
          <w:rFonts w:asciiTheme="minorHAnsi" w:eastAsia="Calibri" w:hAnsiTheme="minorHAnsi"/>
          <w:color w:val="auto"/>
          <w:sz w:val="20"/>
          <w:szCs w:val="20"/>
          <w:lang w:val="sr-Cyrl-BA" w:eastAsia="en-US"/>
        </w:rPr>
        <w:t xml:space="preserve"> </w:t>
      </w:r>
    </w:p>
    <w:p w:rsidR="005934B2" w:rsidRDefault="005934B2" w:rsidP="00A401F8">
      <w:pPr>
        <w:rPr>
          <w:rFonts w:asciiTheme="minorHAnsi" w:eastAsia="Calibri" w:hAnsiTheme="minorHAnsi"/>
          <w:color w:val="auto"/>
          <w:sz w:val="20"/>
          <w:szCs w:val="20"/>
          <w:lang w:val="sr-Cyrl-BA" w:eastAsia="en-US"/>
        </w:rPr>
      </w:pPr>
    </w:p>
    <w:p w:rsidR="005934B2" w:rsidRDefault="005934B2" w:rsidP="00A401F8">
      <w:pPr>
        <w:rPr>
          <w:rFonts w:asciiTheme="minorHAnsi" w:eastAsia="Calibri" w:hAnsiTheme="minorHAnsi"/>
          <w:color w:val="auto"/>
          <w:sz w:val="20"/>
          <w:szCs w:val="20"/>
          <w:lang w:val="sr-Cyrl-BA" w:eastAsia="en-US"/>
        </w:rPr>
      </w:pPr>
    </w:p>
    <w:p w:rsidR="005934B2" w:rsidRDefault="005934B2" w:rsidP="00A401F8">
      <w:pPr>
        <w:rPr>
          <w:rFonts w:asciiTheme="minorHAnsi" w:eastAsia="Calibri" w:hAnsiTheme="minorHAnsi"/>
          <w:color w:val="auto"/>
          <w:sz w:val="20"/>
          <w:szCs w:val="20"/>
          <w:lang w:val="sr-Cyrl-BA" w:eastAsia="en-US"/>
        </w:rPr>
      </w:pPr>
    </w:p>
    <w:p w:rsidR="005934B2" w:rsidRDefault="005934B2" w:rsidP="00A401F8">
      <w:pPr>
        <w:rPr>
          <w:rFonts w:asciiTheme="minorHAnsi" w:eastAsia="Calibri" w:hAnsiTheme="minorHAnsi"/>
          <w:color w:val="auto"/>
          <w:sz w:val="20"/>
          <w:szCs w:val="20"/>
          <w:lang w:val="sr-Cyrl-BA" w:eastAsia="en-US"/>
        </w:rPr>
      </w:pPr>
    </w:p>
    <w:p w:rsidR="005934B2" w:rsidRPr="00224AC6" w:rsidRDefault="005934B2" w:rsidP="00A401F8">
      <w:pPr>
        <w:rPr>
          <w:rFonts w:asciiTheme="minorHAnsi" w:eastAsia="Calibri" w:hAnsiTheme="minorHAnsi"/>
          <w:color w:val="auto"/>
          <w:sz w:val="20"/>
          <w:szCs w:val="20"/>
          <w:lang w:eastAsia="en-US"/>
        </w:rPr>
      </w:pPr>
    </w:p>
    <w:p w:rsidR="005934B2" w:rsidRPr="009F70C0" w:rsidRDefault="005934B2" w:rsidP="00A401F8">
      <w:pPr>
        <w:rPr>
          <w:rFonts w:asciiTheme="minorHAnsi" w:hAnsiTheme="minorHAnsi"/>
          <w:sz w:val="20"/>
          <w:szCs w:val="20"/>
          <w:lang w:val="sr-Cyrl-RS"/>
        </w:rPr>
      </w:pPr>
    </w:p>
    <w:p w:rsidR="005934B2" w:rsidRPr="008B5A35" w:rsidRDefault="005934B2" w:rsidP="00A401F8">
      <w:pPr>
        <w:pStyle w:val="Heading2"/>
        <w:numPr>
          <w:ilvl w:val="0"/>
          <w:numId w:val="0"/>
        </w:numPr>
        <w:rPr>
          <w:rFonts w:asciiTheme="minorHAnsi" w:hAnsiTheme="minorHAnsi"/>
          <w:color w:val="000000" w:themeColor="text1"/>
          <w:szCs w:val="20"/>
          <w:lang w:val="sr-Cyrl-BA"/>
        </w:rPr>
      </w:pPr>
      <w:r w:rsidRPr="008B5A35">
        <w:rPr>
          <w:rFonts w:asciiTheme="minorHAnsi" w:hAnsiTheme="minorHAnsi"/>
          <w:color w:val="000000" w:themeColor="text1"/>
          <w:szCs w:val="20"/>
          <w:lang w:val="sr-Cyrl-RS"/>
        </w:rPr>
        <w:t xml:space="preserve">3.4 </w:t>
      </w:r>
      <w:r w:rsidRPr="008B5A35">
        <w:rPr>
          <w:rFonts w:asciiTheme="minorHAnsi" w:hAnsiTheme="minorHAnsi"/>
          <w:color w:val="000000" w:themeColor="text1"/>
          <w:szCs w:val="20"/>
        </w:rPr>
        <w:t xml:space="preserve"> </w:t>
      </w:r>
      <w:bookmarkStart w:id="15" w:name="_Toc135292178"/>
      <w:r w:rsidRPr="008B5A35">
        <w:rPr>
          <w:rFonts w:asciiTheme="minorHAnsi" w:hAnsiTheme="minorHAnsi"/>
          <w:color w:val="000000" w:themeColor="text1"/>
          <w:szCs w:val="20"/>
          <w:lang w:val="sr-Cyrl-BA"/>
        </w:rPr>
        <w:t>ANALIZA BILANSA STANjA NA DAN 31.12.2024. GODINE</w:t>
      </w:r>
      <w:bookmarkEnd w:id="15"/>
      <w:r w:rsidRPr="008B5A35">
        <w:rPr>
          <w:rFonts w:asciiTheme="minorHAnsi" w:hAnsiTheme="minorHAnsi"/>
          <w:color w:val="000000" w:themeColor="text1"/>
          <w:szCs w:val="20"/>
        </w:rPr>
        <w:t xml:space="preserve">                </w:t>
      </w:r>
    </w:p>
    <w:p w:rsidR="005934B2" w:rsidRDefault="005934B2" w:rsidP="00A401F8">
      <w:pPr>
        <w:ind w:right="-142"/>
        <w:rPr>
          <w:rFonts w:asciiTheme="minorHAnsi" w:hAnsiTheme="minorHAnsi"/>
          <w:b/>
          <w:sz w:val="20"/>
          <w:szCs w:val="20"/>
          <w:lang w:eastAsia="sr-Cyrl-CS"/>
        </w:rPr>
      </w:pPr>
    </w:p>
    <w:p w:rsidR="005934B2" w:rsidRPr="005E197E" w:rsidRDefault="005934B2" w:rsidP="00A401F8">
      <w:pPr>
        <w:ind w:right="-142"/>
        <w:rPr>
          <w:rFonts w:asciiTheme="minorHAnsi" w:hAnsiTheme="minorHAnsi"/>
          <w:sz w:val="20"/>
          <w:szCs w:val="20"/>
          <w:lang w:val="sr-Cyrl-RS" w:eastAsia="sr-Cyrl-CS"/>
        </w:rPr>
      </w:pPr>
      <w:r w:rsidRPr="00B56D60">
        <w:rPr>
          <w:rFonts w:asciiTheme="minorHAnsi" w:hAnsiTheme="minorHAnsi"/>
          <w:sz w:val="20"/>
          <w:szCs w:val="20"/>
          <w:lang w:eastAsia="sr-Cyrl-CS"/>
        </w:rPr>
        <w:t>Poslovna aktiva Garantnog fonda na dan 31.12.202</w:t>
      </w:r>
      <w:r>
        <w:rPr>
          <w:rFonts w:asciiTheme="minorHAnsi" w:hAnsiTheme="minorHAnsi"/>
          <w:sz w:val="20"/>
          <w:szCs w:val="20"/>
          <w:lang w:eastAsia="sr-Cyrl-CS"/>
        </w:rPr>
        <w:t>4</w:t>
      </w:r>
      <w:r w:rsidRPr="00B56D60">
        <w:rPr>
          <w:rFonts w:asciiTheme="minorHAnsi" w:hAnsiTheme="minorHAnsi"/>
          <w:sz w:val="20"/>
          <w:szCs w:val="20"/>
          <w:lang w:eastAsia="sr-Cyrl-CS"/>
        </w:rPr>
        <w:t xml:space="preserve">. godine iznosi </w:t>
      </w:r>
      <w:r>
        <w:rPr>
          <w:rFonts w:asciiTheme="minorHAnsi" w:hAnsiTheme="minorHAnsi"/>
          <w:sz w:val="20"/>
          <w:szCs w:val="20"/>
          <w:lang w:eastAsia="sr-Cyrl-CS"/>
        </w:rPr>
        <w:t>17.806.859,26 KM</w:t>
      </w:r>
      <w:r>
        <w:rPr>
          <w:rFonts w:asciiTheme="minorHAnsi" w:hAnsiTheme="minorHAnsi"/>
          <w:sz w:val="20"/>
          <w:szCs w:val="20"/>
          <w:lang w:val="sr-Cyrl-RS" w:eastAsia="sr-Cyrl-CS"/>
        </w:rPr>
        <w:t xml:space="preserve">. Većinski dio se odnosi na </w:t>
      </w:r>
      <w:r w:rsidRPr="00B56D60">
        <w:rPr>
          <w:rFonts w:asciiTheme="minorHAnsi" w:hAnsiTheme="minorHAnsi"/>
          <w:sz w:val="20"/>
          <w:szCs w:val="20"/>
          <w:lang w:eastAsia="sr-Cyrl-CS"/>
        </w:rPr>
        <w:t>tekuća sr</w:t>
      </w:r>
      <w:r>
        <w:rPr>
          <w:rFonts w:asciiTheme="minorHAnsi" w:hAnsiTheme="minorHAnsi"/>
          <w:sz w:val="20"/>
          <w:szCs w:val="20"/>
          <w:lang w:eastAsia="sr-Cyrl-CS"/>
        </w:rPr>
        <w:t>edstva u iznosu od 17.629.364,92 KM</w:t>
      </w:r>
      <w:r>
        <w:rPr>
          <w:rFonts w:asciiTheme="minorHAnsi" w:hAnsiTheme="minorHAnsi"/>
          <w:sz w:val="20"/>
          <w:szCs w:val="20"/>
          <w:lang w:val="sr-Cyrl-RS" w:eastAsia="sr-Cyrl-CS"/>
        </w:rPr>
        <w:t xml:space="preserve">, dok preostali dio čine </w:t>
      </w:r>
      <w:r w:rsidRPr="00B56D60">
        <w:rPr>
          <w:rFonts w:asciiTheme="minorHAnsi" w:hAnsiTheme="minorHAnsi"/>
          <w:sz w:val="20"/>
          <w:szCs w:val="20"/>
          <w:lang w:eastAsia="sr-Cyrl-CS"/>
        </w:rPr>
        <w:t>stalna</w:t>
      </w:r>
      <w:r>
        <w:rPr>
          <w:rFonts w:asciiTheme="minorHAnsi" w:hAnsiTheme="minorHAnsi"/>
          <w:sz w:val="20"/>
          <w:szCs w:val="20"/>
          <w:lang w:eastAsia="sr-Cyrl-CS"/>
        </w:rPr>
        <w:t xml:space="preserve"> sredstva u iznosu od </w:t>
      </w:r>
      <w:r w:rsidRPr="00B56D60">
        <w:rPr>
          <w:rFonts w:asciiTheme="minorHAnsi" w:hAnsiTheme="minorHAnsi"/>
          <w:sz w:val="20"/>
          <w:szCs w:val="20"/>
          <w:lang w:eastAsia="sr-Cyrl-CS"/>
        </w:rPr>
        <w:t xml:space="preserve"> </w:t>
      </w:r>
      <w:r>
        <w:rPr>
          <w:rFonts w:asciiTheme="minorHAnsi" w:hAnsiTheme="minorHAnsi"/>
          <w:sz w:val="20"/>
          <w:szCs w:val="20"/>
          <w:lang w:eastAsia="sr-Cyrl-CS"/>
        </w:rPr>
        <w:t xml:space="preserve">177.494,34 </w:t>
      </w:r>
      <w:r w:rsidRPr="00B56D60">
        <w:rPr>
          <w:rFonts w:asciiTheme="minorHAnsi" w:hAnsiTheme="minorHAnsi"/>
          <w:sz w:val="20"/>
          <w:szCs w:val="20"/>
          <w:lang w:eastAsia="sr-Cyrl-CS"/>
        </w:rPr>
        <w:t>KM.</w:t>
      </w:r>
      <w:r>
        <w:rPr>
          <w:rFonts w:asciiTheme="minorHAnsi" w:hAnsiTheme="minorHAnsi"/>
          <w:sz w:val="20"/>
          <w:szCs w:val="20"/>
          <w:lang w:eastAsia="sr-Cyrl-CS"/>
        </w:rPr>
        <w:t xml:space="preserve"> </w:t>
      </w:r>
      <w:r>
        <w:rPr>
          <w:rFonts w:asciiTheme="minorHAnsi" w:hAnsiTheme="minorHAnsi"/>
          <w:sz w:val="20"/>
          <w:szCs w:val="20"/>
          <w:lang w:val="sr-Cyrl-RS" w:eastAsia="sr-Cyrl-CS"/>
        </w:rPr>
        <w:t>Struktura aktive se nije značajnije mijenjala u odnosu na prethodnu godinu, ali je došlo do smanjenja u apsolutnom iznosu, čemu je najviše doprinijelo smanjeno ulaganje u hartije od vrijednosti.</w:t>
      </w:r>
    </w:p>
    <w:p w:rsidR="005934B2" w:rsidRPr="00E9137A" w:rsidRDefault="005934B2" w:rsidP="00A401F8">
      <w:pPr>
        <w:ind w:right="-142"/>
        <w:rPr>
          <w:rFonts w:asciiTheme="minorHAnsi" w:hAnsiTheme="minorHAnsi"/>
          <w:sz w:val="20"/>
          <w:szCs w:val="20"/>
          <w:lang w:val="sr-Cyrl-RS" w:eastAsia="sr-Cyrl-CS"/>
        </w:rPr>
      </w:pPr>
    </w:p>
    <w:p w:rsidR="005934B2" w:rsidRPr="005767EF" w:rsidRDefault="005934B2" w:rsidP="00A401F8">
      <w:pPr>
        <w:ind w:left="708" w:right="-142"/>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Pregled bilans</w:t>
      </w:r>
      <w:r w:rsidRPr="005767EF">
        <w:rPr>
          <w:rFonts w:asciiTheme="minorHAnsi" w:hAnsiTheme="minorHAnsi"/>
          <w:b/>
          <w:sz w:val="20"/>
          <w:szCs w:val="20"/>
          <w:lang w:val="sr-Cyrl-BA" w:eastAsia="sr-Cyrl-CS"/>
        </w:rPr>
        <w:t>n</w:t>
      </w:r>
      <w:r w:rsidRPr="005767EF">
        <w:rPr>
          <w:rFonts w:asciiTheme="minorHAnsi" w:hAnsiTheme="minorHAnsi"/>
          <w:b/>
          <w:sz w:val="20"/>
          <w:szCs w:val="20"/>
          <w:lang w:val="sr-Cyrl-CS" w:eastAsia="sr-Cyrl-CS"/>
        </w:rPr>
        <w:t>ih pozicija a</w:t>
      </w:r>
      <w:r>
        <w:rPr>
          <w:rFonts w:asciiTheme="minorHAnsi" w:hAnsiTheme="minorHAnsi"/>
          <w:b/>
          <w:sz w:val="20"/>
          <w:szCs w:val="20"/>
          <w:lang w:val="sr-Cyrl-CS" w:eastAsia="sr-Cyrl-CS"/>
        </w:rPr>
        <w:t>ktive i pasive na dan 31.12.202</w:t>
      </w:r>
      <w:r>
        <w:rPr>
          <w:rFonts w:asciiTheme="minorHAnsi" w:hAnsiTheme="minorHAnsi"/>
          <w:b/>
          <w:sz w:val="20"/>
          <w:szCs w:val="20"/>
          <w:lang w:eastAsia="sr-Cyrl-CS"/>
        </w:rPr>
        <w:t>4</w:t>
      </w:r>
      <w:r w:rsidRPr="005767EF">
        <w:rPr>
          <w:rFonts w:asciiTheme="minorHAnsi" w:hAnsiTheme="minorHAnsi"/>
          <w:b/>
          <w:sz w:val="20"/>
          <w:szCs w:val="20"/>
          <w:lang w:val="sr-Cyrl-CS" w:eastAsia="sr-Cyrl-CS"/>
        </w:rPr>
        <w:t>. godine</w:t>
      </w:r>
    </w:p>
    <w:p w:rsidR="005934B2" w:rsidRPr="005767EF" w:rsidRDefault="005934B2" w:rsidP="00A401F8">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r>
      <w:r w:rsidRPr="005767EF">
        <w:rPr>
          <w:rFonts w:asciiTheme="minorHAnsi" w:hAnsiTheme="minorHAnsi"/>
          <w:b/>
          <w:sz w:val="20"/>
          <w:szCs w:val="20"/>
          <w:lang w:val="sr-Cyrl-CS" w:eastAsia="sr-Cyrl-CS"/>
        </w:rPr>
        <w:tab/>
        <w:t xml:space="preserve">                           </w:t>
      </w:r>
      <w:r>
        <w:rPr>
          <w:rFonts w:asciiTheme="minorHAnsi" w:hAnsiTheme="minorHAnsi"/>
          <w:b/>
          <w:sz w:val="20"/>
          <w:szCs w:val="20"/>
          <w:lang w:val="sr-Cyrl-CS" w:eastAsia="sr-Cyrl-CS"/>
        </w:rPr>
        <w:t xml:space="preserve">                Tabela 21</w:t>
      </w:r>
    </w:p>
    <w:tbl>
      <w:tblPr>
        <w:tblW w:w="8880" w:type="dxa"/>
        <w:tblInd w:w="93" w:type="dxa"/>
        <w:tblLook w:val="04A0" w:firstRow="1" w:lastRow="0" w:firstColumn="1" w:lastColumn="0" w:noHBand="0" w:noVBand="1"/>
      </w:tblPr>
      <w:tblGrid>
        <w:gridCol w:w="4410"/>
        <w:gridCol w:w="1730"/>
        <w:gridCol w:w="1660"/>
        <w:gridCol w:w="1080"/>
      </w:tblGrid>
      <w:tr w:rsidR="005934B2" w:rsidRPr="00B56D60" w:rsidTr="000366C5">
        <w:trPr>
          <w:trHeight w:val="975"/>
        </w:trPr>
        <w:tc>
          <w:tcPr>
            <w:tcW w:w="4410"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B56D60" w:rsidRDefault="005934B2" w:rsidP="000366C5">
            <w:pPr>
              <w:jc w:val="center"/>
              <w:rPr>
                <w:rFonts w:ascii="Calibri" w:hAnsi="Calibri"/>
                <w:b/>
                <w:bCs/>
                <w:sz w:val="20"/>
                <w:szCs w:val="20"/>
              </w:rPr>
            </w:pPr>
            <w:r w:rsidRPr="00B56D60">
              <w:rPr>
                <w:rFonts w:ascii="Calibri" w:hAnsi="Calibri"/>
                <w:b/>
                <w:bCs/>
                <w:sz w:val="20"/>
                <w:szCs w:val="20"/>
              </w:rPr>
              <w:t xml:space="preserve">Bilansna pozicija </w:t>
            </w:r>
          </w:p>
        </w:tc>
        <w:tc>
          <w:tcPr>
            <w:tcW w:w="1730" w:type="dxa"/>
            <w:tcBorders>
              <w:top w:val="single" w:sz="4" w:space="0" w:color="auto"/>
              <w:left w:val="nil"/>
              <w:bottom w:val="single" w:sz="4" w:space="0" w:color="auto"/>
              <w:right w:val="single" w:sz="4" w:space="0" w:color="auto"/>
            </w:tcBorders>
            <w:shd w:val="clear" w:color="000000" w:fill="8DB3E2"/>
            <w:vAlign w:val="center"/>
            <w:hideMark/>
          </w:tcPr>
          <w:p w:rsidR="005934B2" w:rsidRPr="00B56D60" w:rsidRDefault="005934B2" w:rsidP="000366C5">
            <w:pPr>
              <w:jc w:val="center"/>
              <w:rPr>
                <w:rFonts w:ascii="Calibri" w:hAnsi="Calibri"/>
                <w:b/>
                <w:bCs/>
                <w:sz w:val="20"/>
                <w:szCs w:val="20"/>
              </w:rPr>
            </w:pPr>
            <w:r w:rsidRPr="00B56D60">
              <w:rPr>
                <w:rFonts w:ascii="Calibri" w:hAnsi="Calibri"/>
                <w:b/>
                <w:bCs/>
                <w:sz w:val="20"/>
                <w:szCs w:val="20"/>
              </w:rPr>
              <w:t>Stanje na dan 31.12.2023.</w:t>
            </w:r>
          </w:p>
        </w:tc>
        <w:tc>
          <w:tcPr>
            <w:tcW w:w="1660" w:type="dxa"/>
            <w:tcBorders>
              <w:top w:val="single" w:sz="4" w:space="0" w:color="auto"/>
              <w:left w:val="nil"/>
              <w:bottom w:val="single" w:sz="4" w:space="0" w:color="auto"/>
              <w:right w:val="single" w:sz="4" w:space="0" w:color="auto"/>
            </w:tcBorders>
            <w:shd w:val="clear" w:color="000000" w:fill="8DB3E2"/>
            <w:vAlign w:val="center"/>
            <w:hideMark/>
          </w:tcPr>
          <w:p w:rsidR="005934B2" w:rsidRPr="00B56D60" w:rsidRDefault="005934B2" w:rsidP="000366C5">
            <w:pPr>
              <w:jc w:val="center"/>
              <w:rPr>
                <w:rFonts w:ascii="Calibri" w:hAnsi="Calibri"/>
                <w:b/>
                <w:bCs/>
                <w:sz w:val="20"/>
                <w:szCs w:val="20"/>
              </w:rPr>
            </w:pPr>
            <w:r w:rsidRPr="00B56D60">
              <w:rPr>
                <w:rFonts w:ascii="Calibri" w:hAnsi="Calibri"/>
                <w:b/>
                <w:bCs/>
                <w:sz w:val="20"/>
                <w:szCs w:val="20"/>
              </w:rPr>
              <w:t>Stanje na dan 31.12.2024.</w:t>
            </w:r>
          </w:p>
        </w:tc>
        <w:tc>
          <w:tcPr>
            <w:tcW w:w="1080" w:type="dxa"/>
            <w:tcBorders>
              <w:top w:val="single" w:sz="4" w:space="0" w:color="auto"/>
              <w:left w:val="nil"/>
              <w:bottom w:val="single" w:sz="4" w:space="0" w:color="auto"/>
              <w:right w:val="single" w:sz="4" w:space="0" w:color="auto"/>
            </w:tcBorders>
            <w:shd w:val="clear" w:color="000000" w:fill="8DB3E2"/>
            <w:noWrap/>
            <w:vAlign w:val="center"/>
            <w:hideMark/>
          </w:tcPr>
          <w:p w:rsidR="005934B2" w:rsidRPr="00B56D60" w:rsidRDefault="005934B2" w:rsidP="000366C5">
            <w:pPr>
              <w:jc w:val="center"/>
              <w:rPr>
                <w:rFonts w:ascii="Calibri" w:hAnsi="Calibri"/>
                <w:b/>
                <w:bCs/>
                <w:sz w:val="20"/>
                <w:szCs w:val="20"/>
              </w:rPr>
            </w:pPr>
            <w:r w:rsidRPr="00B56D60">
              <w:rPr>
                <w:rFonts w:ascii="Calibri" w:hAnsi="Calibri"/>
                <w:b/>
                <w:bCs/>
                <w:sz w:val="20"/>
                <w:szCs w:val="20"/>
              </w:rPr>
              <w:t xml:space="preserve">Indeks </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Ukupno tekuća sredstva</w:t>
            </w:r>
          </w:p>
        </w:tc>
        <w:tc>
          <w:tcPr>
            <w:tcW w:w="173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color w:val="auto"/>
                <w:sz w:val="20"/>
                <w:szCs w:val="20"/>
              </w:rPr>
            </w:pPr>
            <w:r w:rsidRPr="00B56D60">
              <w:rPr>
                <w:rFonts w:ascii="Calibri" w:hAnsi="Calibri"/>
                <w:b/>
                <w:bCs/>
                <w:color w:val="auto"/>
                <w:sz w:val="20"/>
                <w:szCs w:val="20"/>
              </w:rPr>
              <w:t>20.553.861,09</w:t>
            </w:r>
          </w:p>
        </w:tc>
        <w:tc>
          <w:tcPr>
            <w:tcW w:w="166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color w:val="auto"/>
                <w:sz w:val="20"/>
                <w:szCs w:val="20"/>
              </w:rPr>
            </w:pPr>
            <w:r w:rsidRPr="00B56D60">
              <w:rPr>
                <w:rFonts w:ascii="Calibri" w:hAnsi="Calibri"/>
                <w:b/>
                <w:bCs/>
                <w:color w:val="auto"/>
                <w:sz w:val="20"/>
                <w:szCs w:val="20"/>
              </w:rPr>
              <w:t>17.629.364,92</w:t>
            </w:r>
          </w:p>
        </w:tc>
        <w:tc>
          <w:tcPr>
            <w:tcW w:w="108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85,77</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 xml:space="preserve">Gotovina </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854.171,43</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715.910,43</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83,81</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Opozivi depoziti</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100.000,00</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0,00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Potraživanja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color w:val="auto"/>
                <w:sz w:val="20"/>
                <w:szCs w:val="20"/>
              </w:rPr>
            </w:pPr>
            <w:r w:rsidRPr="00B56D60">
              <w:rPr>
                <w:rFonts w:ascii="Calibri" w:hAnsi="Calibri"/>
                <w:color w:val="auto"/>
                <w:sz w:val="20"/>
                <w:szCs w:val="20"/>
              </w:rPr>
              <w:t>541.728,17</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color w:val="auto"/>
                <w:sz w:val="20"/>
                <w:szCs w:val="20"/>
              </w:rPr>
            </w:pPr>
            <w:r w:rsidRPr="00B56D60">
              <w:rPr>
                <w:rFonts w:ascii="Calibri" w:hAnsi="Calibri"/>
                <w:color w:val="auto"/>
                <w:sz w:val="20"/>
                <w:szCs w:val="20"/>
              </w:rPr>
              <w:t>672.577,79</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124,15</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Hartije od vrijednosti</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11.641.849,00</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8.099.213,31</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69,57</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Ostali plasmani i AVR</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7.416.112,49</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8.141.663,39</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109,78</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Ukupno stalna sredstva</w:t>
            </w:r>
          </w:p>
        </w:tc>
        <w:tc>
          <w:tcPr>
            <w:tcW w:w="173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325.769,77</w:t>
            </w:r>
          </w:p>
        </w:tc>
        <w:tc>
          <w:tcPr>
            <w:tcW w:w="166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177.494,34</w:t>
            </w:r>
          </w:p>
        </w:tc>
        <w:tc>
          <w:tcPr>
            <w:tcW w:w="108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54,48</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Osnovna sredstva i ulaganja u nekretnine</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177.822,52</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Pr>
                <w:rFonts w:asciiTheme="minorHAnsi" w:hAnsiTheme="minorHAnsi"/>
                <w:color w:val="auto"/>
                <w:sz w:val="20"/>
                <w:szCs w:val="20"/>
                <w:lang w:val="sr-Cyrl-CS" w:eastAsia="sr-Cyrl-CS"/>
              </w:rPr>
              <w:t>116.238,55</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2878D8" w:rsidRDefault="005934B2" w:rsidP="000366C5">
            <w:pPr>
              <w:jc w:val="right"/>
              <w:rPr>
                <w:rFonts w:ascii="Calibri" w:hAnsi="Calibri"/>
                <w:sz w:val="20"/>
                <w:szCs w:val="20"/>
                <w:lang w:val="sr-Cyrl-RS"/>
              </w:rPr>
            </w:pPr>
            <w:r>
              <w:rPr>
                <w:rFonts w:ascii="Calibri" w:hAnsi="Calibri"/>
                <w:sz w:val="20"/>
                <w:szCs w:val="20"/>
                <w:lang w:val="sr-Cyrl-RS"/>
              </w:rPr>
              <w:t>65,37</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Ostala nematerijalna sredstva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49.318,25</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42.037,46</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85,24</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Stalna sredstva namijenjena prodaji</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98.629,00</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Pr>
                <w:rFonts w:asciiTheme="minorHAnsi" w:hAnsiTheme="minorHAnsi"/>
                <w:color w:val="auto"/>
                <w:sz w:val="20"/>
                <w:szCs w:val="20"/>
                <w:lang w:val="sr-Cyrl-CS" w:eastAsia="sr-Cyrl-CS"/>
              </w:rPr>
              <w:t>19.218,33</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2878D8" w:rsidRDefault="005934B2" w:rsidP="000366C5">
            <w:pPr>
              <w:jc w:val="right"/>
              <w:rPr>
                <w:rFonts w:ascii="Calibri" w:hAnsi="Calibri"/>
                <w:sz w:val="20"/>
                <w:szCs w:val="20"/>
                <w:lang w:val="sr-Cyrl-RS"/>
              </w:rPr>
            </w:pPr>
            <w:r>
              <w:rPr>
                <w:rFonts w:ascii="Calibri" w:hAnsi="Calibri"/>
                <w:sz w:val="20"/>
                <w:szCs w:val="20"/>
                <w:lang w:val="sr-Cyrl-RS"/>
              </w:rPr>
              <w:t>19,48</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POSLOVNA AKTIVA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20.879.630,86</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17.806.859,26</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85,28</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VANBILANSNA AKTIVA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53.569.487,72</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54.923.015,00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102,53</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000000" w:fill="8DB3E2"/>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UKUPNA AKTIVA</w:t>
            </w:r>
          </w:p>
        </w:tc>
        <w:tc>
          <w:tcPr>
            <w:tcW w:w="1730" w:type="dxa"/>
            <w:tcBorders>
              <w:top w:val="nil"/>
              <w:left w:val="nil"/>
              <w:bottom w:val="single" w:sz="4" w:space="0" w:color="auto"/>
              <w:right w:val="single" w:sz="4" w:space="0" w:color="auto"/>
            </w:tcBorders>
            <w:shd w:val="clear" w:color="000000" w:fill="8DB3E2"/>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74.449.118,58</w:t>
            </w:r>
          </w:p>
        </w:tc>
        <w:tc>
          <w:tcPr>
            <w:tcW w:w="1660" w:type="dxa"/>
            <w:tcBorders>
              <w:top w:val="nil"/>
              <w:left w:val="nil"/>
              <w:bottom w:val="single" w:sz="4" w:space="0" w:color="auto"/>
              <w:right w:val="single" w:sz="4" w:space="0" w:color="auto"/>
            </w:tcBorders>
            <w:shd w:val="clear" w:color="000000" w:fill="8DB3E2"/>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72.729.874,26</w:t>
            </w:r>
          </w:p>
        </w:tc>
        <w:tc>
          <w:tcPr>
            <w:tcW w:w="1080" w:type="dxa"/>
            <w:tcBorders>
              <w:top w:val="nil"/>
              <w:left w:val="nil"/>
              <w:bottom w:val="single" w:sz="4" w:space="0" w:color="auto"/>
              <w:right w:val="single" w:sz="4" w:space="0" w:color="auto"/>
            </w:tcBorders>
            <w:shd w:val="clear" w:color="000000" w:fill="8DB4E2"/>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97,69</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Ukupno obaveze</w:t>
            </w:r>
          </w:p>
        </w:tc>
        <w:tc>
          <w:tcPr>
            <w:tcW w:w="173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color w:val="auto"/>
                <w:sz w:val="20"/>
                <w:szCs w:val="20"/>
              </w:rPr>
            </w:pPr>
            <w:r w:rsidRPr="00B56D60">
              <w:rPr>
                <w:rFonts w:ascii="Calibri" w:hAnsi="Calibri"/>
                <w:b/>
                <w:bCs/>
                <w:color w:val="auto"/>
                <w:sz w:val="20"/>
                <w:szCs w:val="20"/>
              </w:rPr>
              <w:t>3.050.241,61</w:t>
            </w:r>
          </w:p>
        </w:tc>
        <w:tc>
          <w:tcPr>
            <w:tcW w:w="166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color w:val="auto"/>
                <w:sz w:val="20"/>
                <w:szCs w:val="20"/>
              </w:rPr>
            </w:pPr>
            <w:r w:rsidRPr="00B56D60">
              <w:rPr>
                <w:rFonts w:ascii="Calibri" w:hAnsi="Calibri"/>
                <w:b/>
                <w:bCs/>
                <w:color w:val="auto"/>
                <w:sz w:val="20"/>
                <w:szCs w:val="20"/>
              </w:rPr>
              <w:t>957.268,83</w:t>
            </w:r>
          </w:p>
        </w:tc>
        <w:tc>
          <w:tcPr>
            <w:tcW w:w="108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31,38</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Obaveze za kamatu po osnovu ostalih fin. obaveza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color w:val="auto"/>
                <w:sz w:val="20"/>
                <w:szCs w:val="20"/>
              </w:rPr>
            </w:pPr>
            <w:r w:rsidRPr="00B56D60">
              <w:rPr>
                <w:rFonts w:ascii="Calibri" w:hAnsi="Calibri"/>
                <w:color w:val="auto"/>
                <w:sz w:val="20"/>
                <w:szCs w:val="20"/>
              </w:rPr>
              <w:t>288.993,46</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color w:val="auto"/>
                <w:sz w:val="20"/>
                <w:szCs w:val="20"/>
              </w:rPr>
            </w:pPr>
            <w:r w:rsidRPr="00B56D60">
              <w:rPr>
                <w:rFonts w:ascii="Calibri" w:hAnsi="Calibri"/>
                <w:color w:val="auto"/>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0,00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Obaveze za zarade i naknade zarada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80.703,53</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65.066,50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80,62</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Obaveze za poreze i doprinose</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45.824,06</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38.190,85</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83,34</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Obaveze po osnovu aktiviranih garancija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1.485.962,50</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0,00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0,00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Ostale obaveze</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59.072,47</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44.973,32</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76,13</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Rezervisanja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891.448,00</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679.650,24</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76,24</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PVR u domaćoj valuti</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187.478,57</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118.628,90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63,28</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color w:val="auto"/>
                <w:sz w:val="20"/>
                <w:szCs w:val="20"/>
              </w:rPr>
            </w:pPr>
            <w:r w:rsidRPr="00B56D60">
              <w:rPr>
                <w:rFonts w:ascii="Calibri" w:hAnsi="Calibri"/>
                <w:color w:val="auto"/>
                <w:sz w:val="20"/>
                <w:szCs w:val="20"/>
              </w:rPr>
              <w:t xml:space="preserve">Obaveze u stranoj valuti </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10.759,02</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10.759,02</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100,00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000000" w:fill="C5D9F1"/>
            <w:vAlign w:val="center"/>
            <w:hideMark/>
          </w:tcPr>
          <w:p w:rsidR="005934B2" w:rsidRPr="00B56D60" w:rsidRDefault="005934B2" w:rsidP="000366C5">
            <w:pPr>
              <w:jc w:val="left"/>
              <w:rPr>
                <w:rFonts w:ascii="Calibri" w:hAnsi="Calibri"/>
                <w:b/>
                <w:bCs/>
                <w:color w:val="auto"/>
                <w:sz w:val="20"/>
                <w:szCs w:val="20"/>
              </w:rPr>
            </w:pPr>
            <w:r w:rsidRPr="00B56D60">
              <w:rPr>
                <w:rFonts w:ascii="Calibri" w:hAnsi="Calibri"/>
                <w:b/>
                <w:bCs/>
                <w:color w:val="auto"/>
                <w:sz w:val="20"/>
                <w:szCs w:val="20"/>
              </w:rPr>
              <w:t>Ukupno kapital</w:t>
            </w:r>
          </w:p>
        </w:tc>
        <w:tc>
          <w:tcPr>
            <w:tcW w:w="173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17.829.389,00</w:t>
            </w:r>
          </w:p>
        </w:tc>
        <w:tc>
          <w:tcPr>
            <w:tcW w:w="166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16.849.590,43</w:t>
            </w:r>
          </w:p>
        </w:tc>
        <w:tc>
          <w:tcPr>
            <w:tcW w:w="1080" w:type="dxa"/>
            <w:tcBorders>
              <w:top w:val="nil"/>
              <w:left w:val="nil"/>
              <w:bottom w:val="single" w:sz="4" w:space="0" w:color="auto"/>
              <w:right w:val="single" w:sz="4" w:space="0" w:color="auto"/>
            </w:tcBorders>
            <w:shd w:val="clear" w:color="000000" w:fill="C5D9F1"/>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94,50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Akcijski kapital</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30.000.000,00</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30.000.000,00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100,00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Gubitak iz ranijih godina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-10.384.912,00</w:t>
            </w:r>
          </w:p>
        </w:tc>
        <w:tc>
          <w:tcPr>
            <w:tcW w:w="1660" w:type="dxa"/>
            <w:tcBorders>
              <w:top w:val="nil"/>
              <w:left w:val="nil"/>
              <w:bottom w:val="single" w:sz="4" w:space="0" w:color="auto"/>
              <w:right w:val="single" w:sz="4" w:space="0" w:color="auto"/>
            </w:tcBorders>
            <w:shd w:val="clear" w:color="auto" w:fill="auto"/>
            <w:noWrap/>
            <w:vAlign w:val="bottom"/>
            <w:hideMark/>
          </w:tcPr>
          <w:p w:rsidR="005934B2" w:rsidRPr="00B56D60" w:rsidRDefault="005934B2" w:rsidP="000366C5">
            <w:pPr>
              <w:jc w:val="right"/>
              <w:rPr>
                <w:rFonts w:ascii="Calibri" w:hAnsi="Calibri"/>
                <w:sz w:val="20"/>
                <w:szCs w:val="20"/>
              </w:rPr>
            </w:pPr>
            <w:r w:rsidRPr="00B56D60">
              <w:rPr>
                <w:rFonts w:ascii="Calibri" w:hAnsi="Calibri"/>
                <w:sz w:val="20"/>
                <w:szCs w:val="20"/>
              </w:rPr>
              <w:t>-12.170.611,31</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117,20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sidRPr="00B56D60">
              <w:rPr>
                <w:rFonts w:ascii="Calibri" w:hAnsi="Calibri"/>
                <w:sz w:val="20"/>
                <w:szCs w:val="20"/>
              </w:rPr>
              <w:t>Dobit/gubitak tekuće godine</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color w:val="auto"/>
                <w:sz w:val="20"/>
                <w:szCs w:val="20"/>
              </w:rPr>
            </w:pPr>
            <w:r w:rsidRPr="00B56D60">
              <w:rPr>
                <w:rFonts w:ascii="Calibri" w:hAnsi="Calibri"/>
                <w:color w:val="auto"/>
                <w:sz w:val="20"/>
                <w:szCs w:val="20"/>
              </w:rPr>
              <w:t>-1.785.699,00</w:t>
            </w:r>
          </w:p>
        </w:tc>
        <w:tc>
          <w:tcPr>
            <w:tcW w:w="1660" w:type="dxa"/>
            <w:tcBorders>
              <w:top w:val="nil"/>
              <w:left w:val="nil"/>
              <w:bottom w:val="single" w:sz="4" w:space="0" w:color="auto"/>
              <w:right w:val="single" w:sz="4" w:space="0" w:color="auto"/>
            </w:tcBorders>
            <w:shd w:val="clear" w:color="auto" w:fill="auto"/>
            <w:noWrap/>
            <w:vAlign w:val="bottom"/>
            <w:hideMark/>
          </w:tcPr>
          <w:p w:rsidR="005934B2" w:rsidRPr="00B56D60" w:rsidRDefault="005934B2" w:rsidP="000366C5">
            <w:pPr>
              <w:jc w:val="right"/>
              <w:rPr>
                <w:rFonts w:ascii="Calibri" w:hAnsi="Calibri"/>
                <w:sz w:val="20"/>
                <w:szCs w:val="20"/>
              </w:rPr>
            </w:pPr>
            <w:r w:rsidRPr="00B56D60">
              <w:rPr>
                <w:rFonts w:ascii="Calibri" w:hAnsi="Calibri"/>
                <w:sz w:val="20"/>
                <w:szCs w:val="20"/>
              </w:rPr>
              <w:t>-986.585,69</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55,25</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sz w:val="20"/>
                <w:szCs w:val="20"/>
              </w:rPr>
            </w:pPr>
            <w:r>
              <w:rPr>
                <w:rFonts w:ascii="Calibri" w:hAnsi="Calibri"/>
                <w:sz w:val="20"/>
                <w:szCs w:val="20"/>
                <w:lang w:val="sr-Cyrl-RS"/>
              </w:rPr>
              <w:t>Revalizacione r</w:t>
            </w:r>
            <w:r w:rsidRPr="00B56D60">
              <w:rPr>
                <w:rFonts w:ascii="Calibri" w:hAnsi="Calibri"/>
                <w:sz w:val="20"/>
                <w:szCs w:val="20"/>
              </w:rPr>
              <w:t>ezerve</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color w:val="auto"/>
                <w:sz w:val="20"/>
                <w:szCs w:val="20"/>
              </w:rPr>
            </w:pPr>
            <w:r w:rsidRPr="00B56D60">
              <w:rPr>
                <w:rFonts w:ascii="Calibri" w:hAnsi="Calibri"/>
                <w:color w:val="auto"/>
                <w:sz w:val="20"/>
                <w:szCs w:val="20"/>
              </w:rPr>
              <w:t>0,00</w:t>
            </w:r>
          </w:p>
        </w:tc>
        <w:tc>
          <w:tcPr>
            <w:tcW w:w="1660" w:type="dxa"/>
            <w:tcBorders>
              <w:top w:val="nil"/>
              <w:left w:val="nil"/>
              <w:bottom w:val="single" w:sz="4" w:space="0" w:color="auto"/>
              <w:right w:val="single" w:sz="4" w:space="0" w:color="auto"/>
            </w:tcBorders>
            <w:shd w:val="clear" w:color="auto" w:fill="auto"/>
            <w:noWrap/>
            <w:vAlign w:val="bottom"/>
            <w:hideMark/>
          </w:tcPr>
          <w:p w:rsidR="005934B2" w:rsidRPr="00B56D60" w:rsidRDefault="005934B2" w:rsidP="000366C5">
            <w:pPr>
              <w:jc w:val="right"/>
              <w:rPr>
                <w:rFonts w:ascii="Calibri" w:hAnsi="Calibri"/>
                <w:sz w:val="20"/>
                <w:szCs w:val="20"/>
              </w:rPr>
            </w:pPr>
            <w:r w:rsidRPr="00B56D60">
              <w:rPr>
                <w:rFonts w:ascii="Calibri" w:hAnsi="Calibri"/>
                <w:sz w:val="20"/>
                <w:szCs w:val="20"/>
              </w:rPr>
              <w:t>6.787,43</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0,00</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POSLOVNA PASIVA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20.879.630,61</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17.806.859,26</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85,28</w:t>
            </w:r>
          </w:p>
        </w:tc>
      </w:tr>
      <w:tr w:rsidR="005934B2" w:rsidRPr="00B56D60" w:rsidTr="000366C5">
        <w:trPr>
          <w:trHeight w:val="240"/>
        </w:trPr>
        <w:tc>
          <w:tcPr>
            <w:tcW w:w="4410" w:type="dxa"/>
            <w:tcBorders>
              <w:top w:val="nil"/>
              <w:left w:val="single" w:sz="4" w:space="0" w:color="auto"/>
              <w:bottom w:val="single" w:sz="4" w:space="0" w:color="auto"/>
              <w:right w:val="single" w:sz="4" w:space="0" w:color="auto"/>
            </w:tcBorders>
            <w:shd w:val="clear" w:color="auto" w:fill="auto"/>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VANBILANSNA PASIVA</w:t>
            </w:r>
          </w:p>
        </w:tc>
        <w:tc>
          <w:tcPr>
            <w:tcW w:w="173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53.569.487,72</w:t>
            </w:r>
          </w:p>
        </w:tc>
        <w:tc>
          <w:tcPr>
            <w:tcW w:w="166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54.923.015,00</w:t>
            </w:r>
          </w:p>
        </w:tc>
        <w:tc>
          <w:tcPr>
            <w:tcW w:w="1080" w:type="dxa"/>
            <w:tcBorders>
              <w:top w:val="nil"/>
              <w:left w:val="nil"/>
              <w:bottom w:val="single" w:sz="4" w:space="0" w:color="auto"/>
              <w:right w:val="single" w:sz="4" w:space="0" w:color="auto"/>
            </w:tcBorders>
            <w:shd w:val="clear" w:color="auto" w:fill="auto"/>
            <w:noWrap/>
            <w:vAlign w:val="center"/>
            <w:hideMark/>
          </w:tcPr>
          <w:p w:rsidR="005934B2" w:rsidRPr="00B56D60" w:rsidRDefault="005934B2" w:rsidP="000366C5">
            <w:pPr>
              <w:jc w:val="right"/>
              <w:rPr>
                <w:rFonts w:ascii="Calibri" w:hAnsi="Calibri"/>
                <w:sz w:val="20"/>
                <w:szCs w:val="20"/>
              </w:rPr>
            </w:pPr>
            <w:r w:rsidRPr="00B56D60">
              <w:rPr>
                <w:rFonts w:ascii="Calibri" w:hAnsi="Calibri"/>
                <w:sz w:val="20"/>
                <w:szCs w:val="20"/>
              </w:rPr>
              <w:t>102,53</w:t>
            </w:r>
          </w:p>
        </w:tc>
      </w:tr>
      <w:tr w:rsidR="005934B2" w:rsidRPr="00B56D60" w:rsidTr="000366C5">
        <w:trPr>
          <w:trHeight w:val="315"/>
        </w:trPr>
        <w:tc>
          <w:tcPr>
            <w:tcW w:w="4410" w:type="dxa"/>
            <w:tcBorders>
              <w:top w:val="nil"/>
              <w:left w:val="single" w:sz="4" w:space="0" w:color="auto"/>
              <w:bottom w:val="single" w:sz="4" w:space="0" w:color="auto"/>
              <w:right w:val="single" w:sz="4" w:space="0" w:color="auto"/>
            </w:tcBorders>
            <w:shd w:val="clear" w:color="000000" w:fill="8DB3E2"/>
            <w:vAlign w:val="center"/>
            <w:hideMark/>
          </w:tcPr>
          <w:p w:rsidR="005934B2" w:rsidRPr="00B56D60" w:rsidRDefault="005934B2" w:rsidP="000366C5">
            <w:pPr>
              <w:jc w:val="left"/>
              <w:rPr>
                <w:rFonts w:ascii="Calibri" w:hAnsi="Calibri"/>
                <w:b/>
                <w:bCs/>
                <w:sz w:val="20"/>
                <w:szCs w:val="20"/>
              </w:rPr>
            </w:pPr>
            <w:r w:rsidRPr="00B56D60">
              <w:rPr>
                <w:rFonts w:ascii="Calibri" w:hAnsi="Calibri"/>
                <w:b/>
                <w:bCs/>
                <w:sz w:val="20"/>
                <w:szCs w:val="20"/>
              </w:rPr>
              <w:t>UKUPNA PASIVA</w:t>
            </w:r>
          </w:p>
        </w:tc>
        <w:tc>
          <w:tcPr>
            <w:tcW w:w="1730" w:type="dxa"/>
            <w:tcBorders>
              <w:top w:val="nil"/>
              <w:left w:val="nil"/>
              <w:bottom w:val="single" w:sz="4" w:space="0" w:color="auto"/>
              <w:right w:val="single" w:sz="4" w:space="0" w:color="auto"/>
            </w:tcBorders>
            <w:shd w:val="clear" w:color="000000" w:fill="8DB3E2"/>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74.449.118,33</w:t>
            </w:r>
          </w:p>
        </w:tc>
        <w:tc>
          <w:tcPr>
            <w:tcW w:w="1660" w:type="dxa"/>
            <w:tcBorders>
              <w:top w:val="nil"/>
              <w:left w:val="nil"/>
              <w:bottom w:val="single" w:sz="4" w:space="0" w:color="auto"/>
              <w:right w:val="single" w:sz="4" w:space="0" w:color="auto"/>
            </w:tcBorders>
            <w:shd w:val="clear" w:color="000000" w:fill="8DB3E2"/>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72.729.874,26</w:t>
            </w:r>
          </w:p>
        </w:tc>
        <w:tc>
          <w:tcPr>
            <w:tcW w:w="1080" w:type="dxa"/>
            <w:tcBorders>
              <w:top w:val="nil"/>
              <w:left w:val="nil"/>
              <w:bottom w:val="single" w:sz="4" w:space="0" w:color="auto"/>
              <w:right w:val="single" w:sz="4" w:space="0" w:color="auto"/>
            </w:tcBorders>
            <w:shd w:val="clear" w:color="000000" w:fill="8DB4E2"/>
            <w:noWrap/>
            <w:vAlign w:val="center"/>
            <w:hideMark/>
          </w:tcPr>
          <w:p w:rsidR="005934B2" w:rsidRPr="00B56D60" w:rsidRDefault="005934B2" w:rsidP="000366C5">
            <w:pPr>
              <w:jc w:val="right"/>
              <w:rPr>
                <w:rFonts w:ascii="Calibri" w:hAnsi="Calibri"/>
                <w:b/>
                <w:bCs/>
                <w:sz w:val="20"/>
                <w:szCs w:val="20"/>
              </w:rPr>
            </w:pPr>
            <w:r w:rsidRPr="00B56D60">
              <w:rPr>
                <w:rFonts w:ascii="Calibri" w:hAnsi="Calibri"/>
                <w:b/>
                <w:bCs/>
                <w:sz w:val="20"/>
                <w:szCs w:val="20"/>
              </w:rPr>
              <w:t>97,69</w:t>
            </w:r>
          </w:p>
        </w:tc>
      </w:tr>
    </w:tbl>
    <w:p w:rsidR="005934B2" w:rsidRPr="00B56D60" w:rsidRDefault="005934B2" w:rsidP="00A401F8">
      <w:pPr>
        <w:rPr>
          <w:rFonts w:asciiTheme="minorHAnsi" w:hAnsiTheme="minorHAnsi"/>
          <w:color w:val="auto"/>
          <w:sz w:val="20"/>
          <w:szCs w:val="20"/>
          <w:lang w:eastAsia="sr-Cyrl-CS"/>
        </w:rPr>
      </w:pPr>
    </w:p>
    <w:p w:rsidR="005934B2" w:rsidRDefault="005934B2" w:rsidP="00A401F8">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 U strukturi aktive dominantno učešće imaju tekuća sredstva koja obuhvataju s</w:t>
      </w:r>
      <w:r>
        <w:rPr>
          <w:rFonts w:asciiTheme="minorHAnsi" w:hAnsiTheme="minorHAnsi"/>
          <w:color w:val="auto"/>
          <w:sz w:val="20"/>
          <w:szCs w:val="20"/>
          <w:lang w:val="sr-Cyrl-RS" w:eastAsia="sr-Cyrl-CS"/>
        </w:rPr>
        <w:t>lj</w:t>
      </w:r>
      <w:r>
        <w:rPr>
          <w:rFonts w:asciiTheme="minorHAnsi" w:hAnsiTheme="minorHAnsi"/>
          <w:color w:val="auto"/>
          <w:sz w:val="20"/>
          <w:szCs w:val="20"/>
          <w:lang w:val="sr-Cyrl-CS" w:eastAsia="sr-Cyrl-CS"/>
        </w:rPr>
        <w:t>edeće stavke:</w:t>
      </w:r>
    </w:p>
    <w:p w:rsidR="005934B2" w:rsidRPr="007C74A2" w:rsidRDefault="005934B2" w:rsidP="00A401F8">
      <w:pPr>
        <w:rPr>
          <w:rFonts w:asciiTheme="minorHAnsi" w:hAnsiTheme="minorHAnsi"/>
          <w:color w:val="auto"/>
          <w:sz w:val="20"/>
          <w:szCs w:val="20"/>
          <w:lang w:val="sr-Cyrl-CS" w:eastAsia="sr-Cyrl-CS"/>
        </w:rPr>
      </w:pPr>
    </w:p>
    <w:p w:rsidR="005934B2" w:rsidRPr="00E9137A" w:rsidRDefault="005934B2" w:rsidP="00A401F8">
      <w:pPr>
        <w:pStyle w:val="ListParagraph"/>
        <w:numPr>
          <w:ilvl w:val="0"/>
          <w:numId w:val="21"/>
        </w:numPr>
        <w:tabs>
          <w:tab w:val="left" w:pos="709"/>
          <w:tab w:val="left" w:pos="1134"/>
        </w:tabs>
        <w:ind w:left="1134" w:hanging="425"/>
        <w:rPr>
          <w:rFonts w:asciiTheme="minorHAnsi" w:hAnsiTheme="minorHAnsi"/>
          <w:color w:val="auto"/>
          <w:sz w:val="20"/>
          <w:szCs w:val="20"/>
          <w:lang w:val="sr-Cyrl-CS" w:eastAsia="sr-Cyrl-CS"/>
        </w:rPr>
      </w:pPr>
      <w:r w:rsidRPr="00E9137A">
        <w:rPr>
          <w:rFonts w:asciiTheme="minorHAnsi" w:hAnsiTheme="minorHAnsi"/>
          <w:b/>
          <w:color w:val="auto"/>
          <w:sz w:val="20"/>
          <w:szCs w:val="20"/>
          <w:lang w:val="sr-Cyrl-CS" w:eastAsia="sr-Cyrl-CS"/>
        </w:rPr>
        <w:t xml:space="preserve">gotovina </w:t>
      </w:r>
      <w:r w:rsidRPr="00E9137A">
        <w:rPr>
          <w:rFonts w:asciiTheme="minorHAnsi" w:hAnsiTheme="minorHAnsi"/>
          <w:color w:val="auto"/>
          <w:sz w:val="20"/>
          <w:szCs w:val="20"/>
          <w:lang w:val="sr-Cyrl-CS" w:eastAsia="sr-Cyrl-CS"/>
        </w:rPr>
        <w:t xml:space="preserve">u iznosu od </w:t>
      </w:r>
      <w:r w:rsidRPr="00E9137A">
        <w:rPr>
          <w:rFonts w:ascii="Calibri" w:hAnsi="Calibri"/>
          <w:color w:val="auto"/>
          <w:sz w:val="20"/>
          <w:szCs w:val="20"/>
          <w:lang w:val="sr-Cyrl-RS"/>
        </w:rPr>
        <w:t xml:space="preserve">715.910,43 </w:t>
      </w:r>
      <w:r w:rsidRPr="00E9137A">
        <w:rPr>
          <w:rFonts w:asciiTheme="minorHAnsi" w:hAnsiTheme="minorHAnsi"/>
          <w:color w:val="auto"/>
          <w:sz w:val="20"/>
          <w:szCs w:val="20"/>
          <w:lang w:val="sr-Cyrl-CS" w:eastAsia="sr-Cyrl-CS"/>
        </w:rPr>
        <w:t>KM, a odnosi se na gotovinu na žiro računima i gotovinu u blagajni;</w:t>
      </w:r>
    </w:p>
    <w:p w:rsidR="005934B2" w:rsidRPr="00E9137A" w:rsidRDefault="005934B2" w:rsidP="00A401F8">
      <w:pPr>
        <w:pStyle w:val="ListParagraph"/>
        <w:numPr>
          <w:ilvl w:val="0"/>
          <w:numId w:val="21"/>
        </w:numPr>
        <w:tabs>
          <w:tab w:val="left" w:pos="1134"/>
          <w:tab w:val="left" w:pos="1776"/>
        </w:tabs>
        <w:ind w:hanging="1427"/>
        <w:rPr>
          <w:rFonts w:asciiTheme="minorHAnsi" w:hAnsiTheme="minorHAnsi"/>
          <w:b/>
          <w:color w:val="auto"/>
          <w:sz w:val="20"/>
          <w:szCs w:val="20"/>
          <w:lang w:val="sr-Cyrl-CS" w:eastAsia="sr-Cyrl-CS"/>
        </w:rPr>
      </w:pPr>
      <w:r w:rsidRPr="00E9137A">
        <w:rPr>
          <w:rFonts w:asciiTheme="minorHAnsi" w:hAnsiTheme="minorHAnsi"/>
          <w:b/>
          <w:color w:val="auto"/>
          <w:sz w:val="20"/>
          <w:szCs w:val="20"/>
          <w:lang w:val="sr-Cyrl-CS" w:eastAsia="sr-Cyrl-CS"/>
        </w:rPr>
        <w:t>potraživanja</w:t>
      </w:r>
      <w:r w:rsidRPr="00E9137A">
        <w:rPr>
          <w:rFonts w:asciiTheme="minorHAnsi" w:hAnsiTheme="minorHAnsi"/>
          <w:color w:val="auto"/>
          <w:sz w:val="20"/>
          <w:szCs w:val="20"/>
          <w:lang w:val="sr-Cyrl-CS" w:eastAsia="sr-Cyrl-CS"/>
        </w:rPr>
        <w:t xml:space="preserve"> u iznosu od </w:t>
      </w:r>
      <w:r w:rsidRPr="00E9137A">
        <w:rPr>
          <w:rFonts w:ascii="Calibri" w:hAnsi="Calibri"/>
          <w:color w:val="auto"/>
          <w:sz w:val="20"/>
          <w:szCs w:val="20"/>
        </w:rPr>
        <w:t>672.577,79</w:t>
      </w:r>
      <w:r w:rsidRPr="00E9137A">
        <w:rPr>
          <w:rFonts w:ascii="Calibri" w:hAnsi="Calibri"/>
          <w:color w:val="auto"/>
          <w:sz w:val="20"/>
          <w:szCs w:val="20"/>
          <w:lang w:val="sr-Cyrl-RS"/>
        </w:rPr>
        <w:t xml:space="preserve"> </w:t>
      </w:r>
      <w:r w:rsidRPr="00E9137A">
        <w:rPr>
          <w:rFonts w:asciiTheme="minorHAnsi" w:hAnsiTheme="minorHAnsi"/>
          <w:color w:val="auto"/>
          <w:sz w:val="20"/>
          <w:szCs w:val="20"/>
          <w:lang w:val="sr-Cyrl-CS" w:eastAsia="sr-Cyrl-CS"/>
        </w:rPr>
        <w:t>KM, a odnose se na:</w:t>
      </w:r>
    </w:p>
    <w:p w:rsidR="005934B2" w:rsidRPr="00BA1682" w:rsidRDefault="005934B2" w:rsidP="00A401F8">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BA1682">
        <w:rPr>
          <w:rFonts w:asciiTheme="minorHAnsi" w:hAnsiTheme="minorHAnsi"/>
          <w:color w:val="auto"/>
          <w:sz w:val="20"/>
          <w:szCs w:val="20"/>
          <w:lang w:val="sr-Cyrl-CS" w:eastAsia="sr-Cyrl-CS"/>
        </w:rPr>
        <w:t>potraživanja za premiju za izdane garancije u iznosu od</w:t>
      </w:r>
      <w:r w:rsidRPr="00BA1682">
        <w:rPr>
          <w:rFonts w:asciiTheme="minorHAnsi" w:hAnsiTheme="minorHAnsi"/>
          <w:color w:val="auto"/>
          <w:sz w:val="20"/>
          <w:szCs w:val="20"/>
          <w:lang w:val="sr-Latn-BA" w:eastAsia="sr-Cyrl-CS"/>
        </w:rPr>
        <w:t xml:space="preserve"> </w:t>
      </w:r>
      <w:r w:rsidRPr="00BA1682">
        <w:rPr>
          <w:rFonts w:asciiTheme="minorHAnsi" w:hAnsiTheme="minorHAnsi"/>
          <w:color w:val="auto"/>
          <w:sz w:val="20"/>
          <w:szCs w:val="20"/>
          <w:lang w:val="sr-Cyrl-RS" w:eastAsia="sr-Cyrl-CS"/>
        </w:rPr>
        <w:t>377.457,07 KM</w:t>
      </w:r>
      <w:r w:rsidRPr="00BA1682">
        <w:rPr>
          <w:rFonts w:asciiTheme="minorHAnsi" w:hAnsiTheme="minorHAnsi"/>
          <w:color w:val="auto"/>
          <w:sz w:val="20"/>
          <w:szCs w:val="20"/>
          <w:lang w:val="sr-Latn-BA" w:eastAsia="sr-Cyrl-CS"/>
        </w:rPr>
        <w:t xml:space="preserve">. </w:t>
      </w:r>
      <w:r w:rsidRPr="00BA1682">
        <w:rPr>
          <w:rFonts w:asciiTheme="minorHAnsi" w:hAnsiTheme="minorHAnsi"/>
          <w:color w:val="auto"/>
          <w:sz w:val="20"/>
          <w:szCs w:val="20"/>
          <w:lang w:val="sr-Cyrl-BA" w:eastAsia="sr-Cyrl-CS"/>
        </w:rPr>
        <w:t xml:space="preserve">Sektor za monitoring i naplatu potraživanja Garantnog fonda RS je obavljajući redovne aktivnosti u toku 2024. godine dostavio 144 opomene  pred blokadu računa za neuredne nalogodavce garancija, te izvršio 7 blokada račina radi naplate potraživanja putem mjenice. </w:t>
      </w:r>
      <w:r w:rsidRPr="001C46D1">
        <w:rPr>
          <w:rFonts w:asciiTheme="minorHAnsi" w:hAnsiTheme="minorHAnsi"/>
          <w:color w:val="auto"/>
          <w:sz w:val="20"/>
          <w:szCs w:val="20"/>
          <w:lang w:val="sr-Cyrl-BA" w:eastAsia="sr-Cyrl-CS"/>
        </w:rPr>
        <w:t xml:space="preserve">Fond je putem blokada računa mjenicom pokušao naplatiti iznos </w:t>
      </w:r>
      <w:r w:rsidRPr="001C46D1">
        <w:rPr>
          <w:rFonts w:asciiTheme="minorHAnsi" w:hAnsiTheme="minorHAnsi"/>
          <w:sz w:val="20"/>
          <w:szCs w:val="20"/>
          <w:lang w:val="sr-Cyrl-RS"/>
        </w:rPr>
        <w:t xml:space="preserve">od </w:t>
      </w:r>
      <w:r w:rsidRPr="001C46D1">
        <w:rPr>
          <w:rFonts w:asciiTheme="minorHAnsi" w:hAnsiTheme="minorHAnsi"/>
          <w:sz w:val="20"/>
          <w:szCs w:val="20"/>
        </w:rPr>
        <w:t xml:space="preserve">116.847,50 KM, </w:t>
      </w:r>
      <w:r w:rsidRPr="001C46D1">
        <w:rPr>
          <w:rFonts w:asciiTheme="minorHAnsi" w:hAnsiTheme="minorHAnsi"/>
          <w:sz w:val="20"/>
          <w:szCs w:val="20"/>
          <w:lang w:val="sr-Cyrl-RS"/>
        </w:rPr>
        <w:t>pri čemu je stvarno naplaćeno</w:t>
      </w:r>
      <w:r w:rsidRPr="001C46D1">
        <w:rPr>
          <w:rFonts w:asciiTheme="minorHAnsi" w:hAnsiTheme="minorHAnsi"/>
          <w:sz w:val="20"/>
          <w:szCs w:val="20"/>
        </w:rPr>
        <w:t xml:space="preserve"> 17.242,82 KM</w:t>
      </w:r>
      <w:r w:rsidRPr="001C46D1">
        <w:rPr>
          <w:rFonts w:asciiTheme="minorHAnsi" w:hAnsiTheme="minorHAnsi"/>
          <w:sz w:val="20"/>
          <w:szCs w:val="20"/>
          <w:lang w:val="sr-Cyrl-RS"/>
        </w:rPr>
        <w:t>.</w:t>
      </w:r>
      <w:r>
        <w:rPr>
          <w:sz w:val="20"/>
          <w:szCs w:val="20"/>
          <w:lang w:val="sr-Cyrl-RS"/>
        </w:rPr>
        <w:t xml:space="preserve"> </w:t>
      </w:r>
    </w:p>
    <w:p w:rsidR="005934B2" w:rsidRPr="00040FA4" w:rsidRDefault="005934B2" w:rsidP="00A401F8">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BA" w:eastAsia="sr-Cyrl-CS"/>
        </w:rPr>
        <w:t>potraživanja za premiju</w:t>
      </w:r>
      <w:r>
        <w:rPr>
          <w:rFonts w:asciiTheme="minorHAnsi" w:hAnsiTheme="minorHAnsi"/>
          <w:color w:val="auto"/>
          <w:sz w:val="20"/>
          <w:szCs w:val="20"/>
          <w:lang w:val="sr-Cyrl-BA" w:eastAsia="sr-Cyrl-CS"/>
        </w:rPr>
        <w:t xml:space="preserve"> i naknadu</w:t>
      </w:r>
      <w:r w:rsidRPr="00A445D7">
        <w:rPr>
          <w:rFonts w:asciiTheme="minorHAnsi" w:hAnsiTheme="minorHAnsi"/>
          <w:color w:val="auto"/>
          <w:sz w:val="20"/>
          <w:szCs w:val="20"/>
          <w:lang w:val="sr-Cyrl-BA" w:eastAsia="sr-Cyrl-CS"/>
        </w:rPr>
        <w:t xml:space="preserve"> za izdane garancije u okviru </w:t>
      </w:r>
      <w:r>
        <w:rPr>
          <w:rFonts w:asciiTheme="minorHAnsi" w:hAnsiTheme="minorHAnsi"/>
          <w:color w:val="auto"/>
          <w:sz w:val="20"/>
          <w:szCs w:val="20"/>
          <w:lang w:val="sr-Cyrl-BA" w:eastAsia="sr-Cyrl-CS"/>
        </w:rPr>
        <w:t xml:space="preserve">kreditnog portfelja u </w:t>
      </w:r>
      <w:r w:rsidRPr="00A445D7">
        <w:rPr>
          <w:rFonts w:asciiTheme="minorHAnsi" w:hAnsiTheme="minorHAnsi"/>
          <w:color w:val="auto"/>
          <w:sz w:val="20"/>
          <w:szCs w:val="20"/>
          <w:lang w:val="sr-Cyrl-BA" w:eastAsia="sr-Cyrl-CS"/>
        </w:rPr>
        <w:t xml:space="preserve">iznosu od </w:t>
      </w:r>
      <w:r>
        <w:rPr>
          <w:rFonts w:asciiTheme="minorHAnsi" w:hAnsiTheme="minorHAnsi"/>
          <w:color w:val="auto"/>
          <w:sz w:val="20"/>
          <w:szCs w:val="20"/>
          <w:lang w:val="sr-Cyrl-BA" w:eastAsia="sr-Cyrl-CS"/>
        </w:rPr>
        <w:t>58.730,90</w:t>
      </w:r>
      <w:r w:rsidRPr="00A445D7">
        <w:rPr>
          <w:rFonts w:asciiTheme="minorHAnsi" w:hAnsiTheme="minorHAnsi"/>
          <w:color w:val="auto"/>
          <w:sz w:val="20"/>
          <w:szCs w:val="20"/>
          <w:lang w:val="sr-Cyrl-BA" w:eastAsia="sr-Cyrl-CS"/>
        </w:rPr>
        <w:t xml:space="preserve"> K</w:t>
      </w:r>
      <w:r>
        <w:rPr>
          <w:rFonts w:asciiTheme="minorHAnsi" w:hAnsiTheme="minorHAnsi"/>
          <w:color w:val="auto"/>
          <w:sz w:val="20"/>
          <w:szCs w:val="20"/>
          <w:lang w:val="sr-Cyrl-BA" w:eastAsia="sr-Cyrl-CS"/>
        </w:rPr>
        <w:t>M;</w:t>
      </w:r>
    </w:p>
    <w:p w:rsidR="005934B2" w:rsidRPr="00AC030A" w:rsidRDefault="005934B2" w:rsidP="00A401F8">
      <w:pPr>
        <w:pStyle w:val="ListParagraph"/>
        <w:numPr>
          <w:ilvl w:val="0"/>
          <w:numId w:val="20"/>
        </w:numPr>
        <w:tabs>
          <w:tab w:val="left" w:pos="1418"/>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CS" w:eastAsia="sr-Cyrl-CS"/>
        </w:rPr>
        <w:t xml:space="preserve">potraživanja za zatezne kamate obračunate uslijed kašnjenja u plaćanju premije u iznosu od </w:t>
      </w:r>
      <w:r>
        <w:rPr>
          <w:rFonts w:asciiTheme="minorHAnsi" w:hAnsiTheme="minorHAnsi"/>
          <w:color w:val="auto"/>
          <w:sz w:val="20"/>
          <w:szCs w:val="20"/>
          <w:lang w:val="sr-Cyrl-CS" w:eastAsia="sr-Cyrl-CS"/>
        </w:rPr>
        <w:t>316.352,83</w:t>
      </w:r>
      <w:r w:rsidRPr="00A445D7">
        <w:rPr>
          <w:rFonts w:asciiTheme="minorHAnsi" w:hAnsiTheme="minorHAnsi"/>
          <w:color w:val="auto"/>
          <w:sz w:val="20"/>
          <w:szCs w:val="20"/>
          <w:lang w:val="sr-Cyrl-CS" w:eastAsia="sr-Cyrl-CS"/>
        </w:rPr>
        <w:t xml:space="preserve"> KM</w:t>
      </w:r>
      <w:r>
        <w:rPr>
          <w:rFonts w:asciiTheme="minorHAnsi" w:hAnsiTheme="minorHAnsi"/>
          <w:color w:val="auto"/>
          <w:sz w:val="20"/>
          <w:szCs w:val="20"/>
          <w:lang w:val="sr-Cyrl-CS" w:eastAsia="sr-Cyrl-CS"/>
        </w:rPr>
        <w:t xml:space="preserve">. </w:t>
      </w:r>
    </w:p>
    <w:p w:rsidR="005934B2" w:rsidRPr="00A445D7" w:rsidRDefault="005934B2" w:rsidP="00A401F8">
      <w:pPr>
        <w:pStyle w:val="ListParagraph"/>
        <w:tabs>
          <w:tab w:val="left" w:pos="2484"/>
        </w:tabs>
        <w:ind w:left="1134"/>
        <w:rPr>
          <w:rFonts w:asciiTheme="minorHAnsi" w:hAnsiTheme="minorHAnsi"/>
          <w:b/>
          <w:color w:val="auto"/>
          <w:sz w:val="20"/>
          <w:szCs w:val="20"/>
          <w:lang w:val="sr-Cyrl-CS" w:eastAsia="sr-Cyrl-CS"/>
        </w:rPr>
      </w:pPr>
      <w:r w:rsidRPr="00AC030A">
        <w:rPr>
          <w:rFonts w:asciiTheme="minorHAnsi" w:hAnsiTheme="minorHAnsi"/>
          <w:color w:val="auto"/>
          <w:sz w:val="20"/>
          <w:szCs w:val="20"/>
          <w:lang w:val="sr-Cyrl-CS" w:eastAsia="sr-Cyrl-CS"/>
        </w:rPr>
        <w:t xml:space="preserve">Korigovani iznos potraživanja za premiju i zateznu kamatu, kada se uzme u obzir ispravka vrijednosti, iznosi </w:t>
      </w:r>
      <w:r>
        <w:rPr>
          <w:rFonts w:asciiTheme="minorHAnsi" w:hAnsiTheme="minorHAnsi"/>
          <w:color w:val="auto"/>
          <w:sz w:val="20"/>
          <w:szCs w:val="20"/>
          <w:lang w:val="sr-Cyrl-CS" w:eastAsia="sr-Cyrl-CS"/>
        </w:rPr>
        <w:t>665.000,95</w:t>
      </w:r>
      <w:r w:rsidRPr="00AC030A">
        <w:rPr>
          <w:rFonts w:asciiTheme="minorHAnsi" w:hAnsiTheme="minorHAnsi"/>
          <w:color w:val="auto"/>
          <w:sz w:val="20"/>
          <w:szCs w:val="20"/>
          <w:lang w:val="sr-Cyrl-CS" w:eastAsia="sr-Cyrl-CS"/>
        </w:rPr>
        <w:t xml:space="preserve"> KM.</w:t>
      </w:r>
    </w:p>
    <w:p w:rsidR="005934B2" w:rsidRPr="00A445D7" w:rsidRDefault="005934B2" w:rsidP="00A401F8">
      <w:pPr>
        <w:pStyle w:val="ListParagraph"/>
        <w:numPr>
          <w:ilvl w:val="0"/>
          <w:numId w:val="20"/>
        </w:numPr>
        <w:tabs>
          <w:tab w:val="left" w:pos="2484"/>
        </w:tabs>
        <w:ind w:left="1134" w:hanging="425"/>
        <w:rPr>
          <w:rFonts w:asciiTheme="minorHAnsi" w:hAnsiTheme="minorHAnsi"/>
          <w:b/>
          <w:color w:val="auto"/>
          <w:sz w:val="20"/>
          <w:szCs w:val="20"/>
          <w:lang w:val="sr-Cyrl-CS" w:eastAsia="sr-Cyrl-CS"/>
        </w:rPr>
      </w:pPr>
      <w:r w:rsidRPr="00A445D7">
        <w:rPr>
          <w:rFonts w:asciiTheme="minorHAnsi" w:hAnsiTheme="minorHAnsi"/>
          <w:color w:val="auto"/>
          <w:sz w:val="20"/>
          <w:szCs w:val="20"/>
          <w:lang w:val="sr-Cyrl-BA" w:eastAsia="sr-Cyrl-CS"/>
        </w:rPr>
        <w:t xml:space="preserve">ostala potraživanja iz operativnog poslovanja u iznosu od </w:t>
      </w:r>
      <w:r>
        <w:rPr>
          <w:rFonts w:asciiTheme="minorHAnsi" w:hAnsiTheme="minorHAnsi"/>
          <w:color w:val="auto"/>
          <w:sz w:val="20"/>
          <w:szCs w:val="20"/>
          <w:lang w:val="sr-Cyrl-BA" w:eastAsia="sr-Cyrl-CS"/>
        </w:rPr>
        <w:t>7.576,84</w:t>
      </w:r>
      <w:r w:rsidRPr="00A445D7">
        <w:rPr>
          <w:rFonts w:asciiTheme="minorHAnsi" w:hAnsiTheme="minorHAnsi"/>
          <w:color w:val="auto"/>
          <w:sz w:val="20"/>
          <w:szCs w:val="20"/>
          <w:lang w:val="sr-Cyrl-BA" w:eastAsia="sr-Cyrl-CS"/>
        </w:rPr>
        <w:t xml:space="preserve"> KM, a koja </w:t>
      </w:r>
      <w:r>
        <w:rPr>
          <w:rFonts w:asciiTheme="minorHAnsi" w:hAnsiTheme="minorHAnsi"/>
          <w:color w:val="auto"/>
          <w:sz w:val="20"/>
          <w:szCs w:val="20"/>
          <w:lang w:val="sr-Cyrl-BA" w:eastAsia="sr-Cyrl-CS"/>
        </w:rPr>
        <w:t xml:space="preserve">obuhvataju </w:t>
      </w:r>
      <w:r w:rsidRPr="00A445D7">
        <w:rPr>
          <w:rFonts w:asciiTheme="minorHAnsi" w:hAnsiTheme="minorHAnsi"/>
          <w:color w:val="auto"/>
          <w:sz w:val="20"/>
          <w:szCs w:val="20"/>
          <w:lang w:val="sr-Cyrl-BA" w:eastAsia="sr-Cyrl-CS"/>
        </w:rPr>
        <w:t xml:space="preserve">potraživanja za refundaciju za trudničko bolovanje u iznosu od </w:t>
      </w:r>
      <w:r>
        <w:rPr>
          <w:rFonts w:asciiTheme="minorHAnsi" w:hAnsiTheme="minorHAnsi"/>
          <w:color w:val="auto"/>
          <w:sz w:val="20"/>
          <w:szCs w:val="20"/>
          <w:lang w:val="sr-Cyrl-BA" w:eastAsia="sr-Cyrl-CS"/>
        </w:rPr>
        <w:t>7.751,64</w:t>
      </w:r>
      <w:r w:rsidRPr="00A445D7">
        <w:rPr>
          <w:rFonts w:asciiTheme="minorHAnsi" w:hAnsiTheme="minorHAnsi"/>
          <w:color w:val="auto"/>
          <w:sz w:val="20"/>
          <w:szCs w:val="20"/>
          <w:lang w:val="sr-Cyrl-BA" w:eastAsia="sr-Cyrl-CS"/>
        </w:rPr>
        <w:t xml:space="preserve"> KM, </w:t>
      </w:r>
      <w:r>
        <w:rPr>
          <w:rFonts w:asciiTheme="minorHAnsi" w:hAnsiTheme="minorHAnsi"/>
          <w:color w:val="auto"/>
          <w:sz w:val="20"/>
          <w:szCs w:val="20"/>
          <w:lang w:val="sr-Cyrl-BA" w:eastAsia="sr-Cyrl-CS"/>
        </w:rPr>
        <w:t xml:space="preserve">druga potraživanja od usluga u domaćem platnom prometu u iznosu od 202,80 KM, </w:t>
      </w:r>
      <w:r w:rsidRPr="00A445D7">
        <w:rPr>
          <w:rFonts w:asciiTheme="minorHAnsi" w:hAnsiTheme="minorHAnsi"/>
          <w:color w:val="auto"/>
          <w:sz w:val="20"/>
          <w:szCs w:val="20"/>
          <w:lang w:val="sr-Cyrl-BA" w:eastAsia="sr-Cyrl-CS"/>
        </w:rPr>
        <w:t>te ostala potraživanja</w:t>
      </w:r>
      <w:r>
        <w:rPr>
          <w:rFonts w:asciiTheme="minorHAnsi" w:hAnsiTheme="minorHAnsi"/>
          <w:color w:val="auto"/>
          <w:sz w:val="20"/>
          <w:szCs w:val="20"/>
          <w:lang w:val="sr-Cyrl-BA" w:eastAsia="sr-Cyrl-CS"/>
        </w:rPr>
        <w:t xml:space="preserve"> iz operativnog poslovanja</w:t>
      </w:r>
      <w:r w:rsidRPr="00A445D7">
        <w:rPr>
          <w:rFonts w:asciiTheme="minorHAnsi" w:hAnsiTheme="minorHAnsi"/>
          <w:color w:val="auto"/>
          <w:sz w:val="20"/>
          <w:szCs w:val="20"/>
          <w:lang w:val="sr-Cyrl-BA" w:eastAsia="sr-Cyrl-CS"/>
        </w:rPr>
        <w:t xml:space="preserve"> u iznosu od </w:t>
      </w:r>
      <w:r>
        <w:rPr>
          <w:rFonts w:asciiTheme="minorHAnsi" w:hAnsiTheme="minorHAnsi"/>
          <w:color w:val="auto"/>
          <w:sz w:val="20"/>
          <w:szCs w:val="20"/>
          <w:lang w:val="sr-Cyrl-BA" w:eastAsia="sr-Cyrl-CS"/>
        </w:rPr>
        <w:t>91,90</w:t>
      </w:r>
      <w:r w:rsidRPr="00A445D7">
        <w:rPr>
          <w:rFonts w:asciiTheme="minorHAnsi" w:hAnsiTheme="minorHAnsi"/>
          <w:color w:val="auto"/>
          <w:sz w:val="20"/>
          <w:szCs w:val="20"/>
          <w:lang w:val="sr-Cyrl-BA" w:eastAsia="sr-Cyrl-CS"/>
        </w:rPr>
        <w:t xml:space="preserve"> KM</w:t>
      </w:r>
      <w:r>
        <w:rPr>
          <w:rFonts w:asciiTheme="minorHAnsi" w:hAnsiTheme="minorHAnsi"/>
          <w:color w:val="auto"/>
          <w:sz w:val="20"/>
          <w:szCs w:val="20"/>
          <w:lang w:val="sr-Cyrl-BA" w:eastAsia="sr-Cyrl-CS"/>
        </w:rPr>
        <w:t>. Ispravka vrijednosti potraživanja je izvršena u iznosu od 469,50 KM.</w:t>
      </w:r>
    </w:p>
    <w:p w:rsidR="005934B2" w:rsidRPr="00DF5027" w:rsidRDefault="005934B2" w:rsidP="00A401F8">
      <w:pPr>
        <w:pStyle w:val="ListParagraph"/>
        <w:numPr>
          <w:ilvl w:val="0"/>
          <w:numId w:val="25"/>
        </w:numPr>
        <w:tabs>
          <w:tab w:val="left" w:pos="1134"/>
        </w:tabs>
        <w:ind w:left="1134" w:hanging="425"/>
        <w:rPr>
          <w:rFonts w:asciiTheme="minorHAnsi" w:hAnsiTheme="minorHAnsi"/>
          <w:color w:val="auto"/>
          <w:sz w:val="20"/>
          <w:szCs w:val="20"/>
          <w:lang w:val="sr-Cyrl-CS" w:eastAsia="sr-Cyrl-CS"/>
        </w:rPr>
      </w:pPr>
      <w:r w:rsidRPr="00DF5027">
        <w:rPr>
          <w:rFonts w:asciiTheme="minorHAnsi" w:hAnsiTheme="minorHAnsi"/>
          <w:b/>
          <w:color w:val="auto"/>
          <w:sz w:val="20"/>
          <w:szCs w:val="20"/>
          <w:lang w:val="sr-Cyrl-CS" w:eastAsia="sr-Cyrl-CS"/>
        </w:rPr>
        <w:t>hartije od vrijednosti</w:t>
      </w:r>
      <w:r w:rsidRPr="00DF5027">
        <w:rPr>
          <w:rFonts w:asciiTheme="minorHAnsi" w:hAnsiTheme="minorHAnsi"/>
          <w:color w:val="auto"/>
          <w:sz w:val="20"/>
          <w:szCs w:val="20"/>
          <w:lang w:val="sr-Cyrl-CS" w:eastAsia="sr-Cyrl-CS"/>
        </w:rPr>
        <w:t xml:space="preserve"> u iznosu od </w:t>
      </w:r>
      <w:r w:rsidRPr="00DF5027">
        <w:rPr>
          <w:rFonts w:asciiTheme="minorHAnsi" w:hAnsiTheme="minorHAnsi"/>
          <w:color w:val="auto"/>
          <w:sz w:val="20"/>
          <w:szCs w:val="20"/>
          <w:lang w:val="sr-Cyrl-RS"/>
        </w:rPr>
        <w:t>8.099.213,31 KM sa ispravkom vrijednosti, od čega se 8.001.572,09 KM odnosi na dužničke hartije od vrijednosti koje se drže do roka dospijeća, a 109.914,98 KM na potraživanje po osnovu kamate na iste. U skladu sa MRS 9,</w:t>
      </w:r>
      <w:r w:rsidRPr="00DF5027">
        <w:rPr>
          <w:rFonts w:asciiTheme="minorHAnsi" w:hAnsiTheme="minorHAnsi"/>
          <w:sz w:val="20"/>
          <w:szCs w:val="20"/>
          <w:lang w:val="sr-Cyrl-RS" w:eastAsia="en-GB"/>
        </w:rPr>
        <w:t xml:space="preserve"> Fond utvrđuje očekivani kreditni gubitak za stavke finansijske aktive koje se vrednuju po amortizovanom trošku i fer vrijednosti kroz ostali ukupni rezultat, te je po ovom osnovu izvršena </w:t>
      </w:r>
      <w:r w:rsidRPr="00DF5027">
        <w:rPr>
          <w:rFonts w:asciiTheme="minorHAnsi" w:hAnsiTheme="minorHAnsi"/>
          <w:color w:val="auto"/>
          <w:sz w:val="20"/>
          <w:szCs w:val="20"/>
          <w:lang w:val="sr-Cyrl-RS"/>
        </w:rPr>
        <w:t>ispravka vrijednosti hartija u vlasništvu Fonda u iznosu od 12.273,76 KM.</w:t>
      </w:r>
    </w:p>
    <w:p w:rsidR="005934B2" w:rsidRPr="004F03D0" w:rsidRDefault="005934B2" w:rsidP="00A401F8">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D14A0D">
        <w:rPr>
          <w:rFonts w:asciiTheme="minorHAnsi" w:hAnsiTheme="minorHAnsi"/>
          <w:b/>
          <w:color w:val="auto"/>
          <w:sz w:val="20"/>
          <w:szCs w:val="20"/>
          <w:lang w:val="sr-Cyrl-CS" w:eastAsia="sr-Cyrl-CS"/>
        </w:rPr>
        <w:t>ostali plasmani</w:t>
      </w:r>
      <w:r w:rsidRPr="00D14A0D">
        <w:rPr>
          <w:rFonts w:asciiTheme="minorHAnsi" w:hAnsiTheme="minorHAnsi"/>
          <w:color w:val="auto"/>
          <w:sz w:val="20"/>
          <w:szCs w:val="20"/>
          <w:lang w:val="sr-Cyrl-CS" w:eastAsia="sr-Cyrl-CS"/>
        </w:rPr>
        <w:t xml:space="preserve"> </w:t>
      </w:r>
      <w:r w:rsidRPr="00D14A0D">
        <w:rPr>
          <w:rFonts w:asciiTheme="minorHAnsi" w:hAnsiTheme="minorHAnsi"/>
          <w:b/>
          <w:color w:val="auto"/>
          <w:sz w:val="20"/>
          <w:szCs w:val="20"/>
          <w:lang w:val="sr-Cyrl-CS" w:eastAsia="sr-Cyrl-CS"/>
        </w:rPr>
        <w:t>i AVR</w:t>
      </w:r>
      <w:r w:rsidRPr="00D14A0D">
        <w:rPr>
          <w:rFonts w:asciiTheme="minorHAnsi" w:hAnsiTheme="minorHAnsi"/>
          <w:color w:val="auto"/>
          <w:sz w:val="20"/>
          <w:szCs w:val="20"/>
          <w:lang w:val="sr-Cyrl-CS" w:eastAsia="sr-Cyrl-CS"/>
        </w:rPr>
        <w:t xml:space="preserve"> u iznosu od </w:t>
      </w:r>
      <w:r w:rsidRPr="00D14A0D">
        <w:rPr>
          <w:rFonts w:ascii="Calibri" w:hAnsi="Calibri"/>
          <w:color w:val="auto"/>
          <w:sz w:val="20"/>
          <w:szCs w:val="20"/>
        </w:rPr>
        <w:t>8.141.663,39</w:t>
      </w:r>
      <w:r w:rsidRPr="00D14A0D">
        <w:rPr>
          <w:rFonts w:ascii="Calibri" w:hAnsi="Calibri"/>
          <w:color w:val="auto"/>
          <w:sz w:val="20"/>
          <w:szCs w:val="20"/>
          <w:lang w:val="sr-Cyrl-RS"/>
        </w:rPr>
        <w:t xml:space="preserve"> </w:t>
      </w:r>
      <w:r w:rsidRPr="00D14A0D">
        <w:rPr>
          <w:rFonts w:asciiTheme="minorHAnsi" w:hAnsiTheme="minorHAnsi"/>
          <w:color w:val="auto"/>
          <w:sz w:val="20"/>
          <w:szCs w:val="20"/>
          <w:lang w:val="sr-Cyrl-CS" w:eastAsia="sr-Cyrl-CS"/>
        </w:rPr>
        <w:t>KM</w:t>
      </w:r>
      <w:r>
        <w:rPr>
          <w:rFonts w:asciiTheme="minorHAnsi" w:hAnsiTheme="minorHAnsi"/>
          <w:color w:val="auto"/>
          <w:sz w:val="20"/>
          <w:szCs w:val="20"/>
          <w:lang w:val="sr-Cyrl-CS" w:eastAsia="sr-Cyrl-CS"/>
        </w:rPr>
        <w:t>, a koji obuhvataju o</w:t>
      </w:r>
      <w:r w:rsidRPr="006B5569">
        <w:rPr>
          <w:rFonts w:asciiTheme="minorHAnsi" w:hAnsiTheme="minorHAnsi"/>
          <w:color w:val="auto"/>
          <w:sz w:val="20"/>
          <w:szCs w:val="20"/>
          <w:lang w:val="sr-Latn-CS"/>
        </w:rPr>
        <w:t>stale plasmane u domaćoj valuti</w:t>
      </w:r>
      <w:r>
        <w:rPr>
          <w:rFonts w:asciiTheme="minorHAnsi" w:hAnsiTheme="minorHAnsi"/>
          <w:color w:val="auto"/>
          <w:sz w:val="20"/>
          <w:szCs w:val="20"/>
          <w:lang w:val="sr-Cyrl-BA"/>
        </w:rPr>
        <w:t xml:space="preserve">, </w:t>
      </w:r>
      <w:r w:rsidRPr="006B5569">
        <w:rPr>
          <w:rFonts w:asciiTheme="minorHAnsi" w:hAnsiTheme="minorHAnsi"/>
          <w:color w:val="auto"/>
          <w:sz w:val="20"/>
          <w:szCs w:val="20"/>
          <w:lang w:val="sr-Cyrl-RS"/>
        </w:rPr>
        <w:t>plasmane za izvršena plaćanja po garancijama</w:t>
      </w:r>
      <w:r>
        <w:rPr>
          <w:rFonts w:asciiTheme="minorHAnsi" w:hAnsiTheme="minorHAnsi"/>
          <w:color w:val="auto"/>
          <w:sz w:val="20"/>
          <w:szCs w:val="20"/>
          <w:lang w:val="sr-Cyrl-RS"/>
        </w:rPr>
        <w:t>, udjele i aktivna vremenska razgraničenja</w:t>
      </w:r>
      <w:r>
        <w:rPr>
          <w:rFonts w:asciiTheme="minorHAnsi" w:hAnsiTheme="minorHAnsi"/>
          <w:color w:val="auto"/>
          <w:sz w:val="20"/>
          <w:szCs w:val="20"/>
          <w:lang w:val="sr-Cyrl-CS" w:eastAsia="sr-Cyrl-CS"/>
        </w:rPr>
        <w:t>. Z</w:t>
      </w:r>
      <w:r w:rsidRPr="006B5569">
        <w:rPr>
          <w:rFonts w:asciiTheme="minorHAnsi" w:hAnsiTheme="minorHAnsi"/>
          <w:color w:val="auto"/>
          <w:sz w:val="20"/>
          <w:szCs w:val="20"/>
          <w:lang w:val="sr-Latn-CS"/>
        </w:rPr>
        <w:t>bog značaja iznosa iskazanog u bilansu stanja</w:t>
      </w:r>
      <w:r>
        <w:rPr>
          <w:rFonts w:asciiTheme="minorHAnsi" w:hAnsiTheme="minorHAnsi"/>
          <w:color w:val="auto"/>
          <w:sz w:val="20"/>
          <w:szCs w:val="20"/>
          <w:lang w:val="sr-Cyrl-BA"/>
        </w:rPr>
        <w:t>, na prve dvije stavke je usmjerena posebna pažnja u postupku revizije.</w:t>
      </w:r>
    </w:p>
    <w:p w:rsidR="005934B2" w:rsidRDefault="005934B2" w:rsidP="00A401F8">
      <w:pPr>
        <w:pStyle w:val="ListParagraph"/>
        <w:tabs>
          <w:tab w:val="left" w:pos="1134"/>
        </w:tabs>
        <w:ind w:left="1134"/>
        <w:rPr>
          <w:rFonts w:asciiTheme="minorHAnsi" w:hAnsiTheme="minorHAnsi"/>
          <w:color w:val="auto"/>
          <w:sz w:val="20"/>
          <w:szCs w:val="20"/>
          <w:lang w:val="sr-Cyrl-CS" w:eastAsia="sr-Cyrl-CS"/>
        </w:rPr>
      </w:pPr>
    </w:p>
    <w:p w:rsidR="005934B2" w:rsidRDefault="005934B2" w:rsidP="00A401F8">
      <w:pPr>
        <w:pStyle w:val="ListParagraph"/>
        <w:tabs>
          <w:tab w:val="left" w:pos="1134"/>
        </w:tabs>
        <w:ind w:left="1134"/>
        <w:rPr>
          <w:rFonts w:asciiTheme="minorHAnsi" w:hAnsiTheme="minorHAnsi"/>
          <w:color w:val="auto"/>
          <w:sz w:val="20"/>
          <w:szCs w:val="20"/>
          <w:lang w:val="sr-Cyrl-RS"/>
        </w:rPr>
      </w:pPr>
      <w:r w:rsidRPr="004F03D0">
        <w:rPr>
          <w:rFonts w:asciiTheme="minorHAnsi" w:hAnsiTheme="minorHAnsi"/>
          <w:b/>
          <w:color w:val="auto"/>
          <w:sz w:val="20"/>
          <w:szCs w:val="20"/>
          <w:lang w:val="sr-Cyrl-BA"/>
        </w:rPr>
        <w:t>1.</w:t>
      </w:r>
      <w:r>
        <w:rPr>
          <w:rFonts w:asciiTheme="minorHAnsi" w:hAnsiTheme="minorHAnsi"/>
          <w:color w:val="auto"/>
          <w:sz w:val="20"/>
          <w:szCs w:val="20"/>
          <w:lang w:val="sr-Cyrl-BA"/>
        </w:rPr>
        <w:t xml:space="preserve"> </w:t>
      </w:r>
      <w:r w:rsidRPr="006B5569">
        <w:rPr>
          <w:rFonts w:asciiTheme="minorHAnsi" w:hAnsiTheme="minorHAnsi"/>
          <w:color w:val="auto"/>
          <w:sz w:val="20"/>
          <w:szCs w:val="20"/>
          <w:lang w:val="sr-Latn-CS"/>
        </w:rPr>
        <w:t>U bilansu stanja na dan 31.12.202</w:t>
      </w:r>
      <w:r w:rsidRPr="006B5569">
        <w:rPr>
          <w:rFonts w:asciiTheme="minorHAnsi" w:hAnsiTheme="minorHAnsi"/>
          <w:color w:val="auto"/>
          <w:sz w:val="20"/>
          <w:szCs w:val="20"/>
          <w:lang w:val="sr-Cyrl-RS"/>
        </w:rPr>
        <w:t>4</w:t>
      </w:r>
      <w:r w:rsidRPr="006B5569">
        <w:rPr>
          <w:rFonts w:asciiTheme="minorHAnsi" w:hAnsiTheme="minorHAnsi"/>
          <w:color w:val="auto"/>
          <w:sz w:val="20"/>
          <w:szCs w:val="20"/>
          <w:lang w:val="sr-Latn-CS"/>
        </w:rPr>
        <w:t>.</w:t>
      </w:r>
      <w:r w:rsidRPr="006B5569">
        <w:rPr>
          <w:rFonts w:asciiTheme="minorHAnsi" w:hAnsiTheme="minorHAnsi"/>
          <w:color w:val="auto"/>
          <w:sz w:val="20"/>
          <w:szCs w:val="20"/>
          <w:lang w:val="sr-Cyrl-RS"/>
        </w:rPr>
        <w:t xml:space="preserve"> </w:t>
      </w:r>
      <w:r w:rsidRPr="006B5569">
        <w:rPr>
          <w:rFonts w:asciiTheme="minorHAnsi" w:hAnsiTheme="minorHAnsi"/>
          <w:color w:val="auto"/>
          <w:sz w:val="20"/>
          <w:szCs w:val="20"/>
          <w:lang w:val="sr-Latn-CS"/>
        </w:rPr>
        <w:t xml:space="preserve">godine iskazana je vrijednost </w:t>
      </w:r>
      <w:r w:rsidRPr="004F03D0">
        <w:rPr>
          <w:rFonts w:asciiTheme="minorHAnsi" w:hAnsiTheme="minorHAnsi"/>
          <w:i/>
          <w:color w:val="auto"/>
          <w:sz w:val="20"/>
          <w:szCs w:val="20"/>
          <w:lang w:val="sr-Cyrl-RS"/>
        </w:rPr>
        <w:t xml:space="preserve">ostalih plasmana </w:t>
      </w:r>
      <w:r>
        <w:rPr>
          <w:rFonts w:asciiTheme="minorHAnsi" w:hAnsiTheme="minorHAnsi"/>
          <w:i/>
          <w:color w:val="auto"/>
          <w:sz w:val="20"/>
          <w:szCs w:val="20"/>
          <w:lang w:val="sr-Cyrl-RS"/>
        </w:rPr>
        <w:t xml:space="preserve">u </w:t>
      </w:r>
      <w:r w:rsidRPr="004F03D0">
        <w:rPr>
          <w:rFonts w:asciiTheme="minorHAnsi" w:hAnsiTheme="minorHAnsi"/>
          <w:i/>
          <w:color w:val="auto"/>
          <w:sz w:val="20"/>
          <w:szCs w:val="20"/>
          <w:lang w:val="sr-Cyrl-RS"/>
        </w:rPr>
        <w:t>domaćoj valuti</w:t>
      </w:r>
      <w:r w:rsidRPr="006B5569">
        <w:rPr>
          <w:rFonts w:asciiTheme="minorHAnsi" w:hAnsiTheme="minorHAnsi"/>
          <w:color w:val="auto"/>
          <w:sz w:val="20"/>
          <w:szCs w:val="20"/>
          <w:lang w:val="sr-Cyrl-RS"/>
        </w:rPr>
        <w:t xml:space="preserve"> u </w:t>
      </w:r>
      <w:r w:rsidRPr="006B5569">
        <w:rPr>
          <w:rFonts w:asciiTheme="minorHAnsi" w:hAnsiTheme="minorHAnsi"/>
          <w:color w:val="auto"/>
          <w:sz w:val="20"/>
          <w:szCs w:val="20"/>
          <w:lang w:val="sr-Latn-CS"/>
        </w:rPr>
        <w:t xml:space="preserve">bruto iznosu </w:t>
      </w:r>
      <w:r w:rsidRPr="006B5569">
        <w:rPr>
          <w:rFonts w:asciiTheme="minorHAnsi" w:hAnsiTheme="minorHAnsi"/>
          <w:color w:val="auto"/>
          <w:sz w:val="20"/>
          <w:szCs w:val="20"/>
          <w:lang w:val="sr-Cyrl-RS"/>
        </w:rPr>
        <w:t xml:space="preserve">od </w:t>
      </w:r>
      <w:r w:rsidRPr="006B5569">
        <w:rPr>
          <w:rFonts w:asciiTheme="minorHAnsi" w:hAnsiTheme="minorHAnsi"/>
          <w:color w:val="auto"/>
          <w:sz w:val="20"/>
          <w:szCs w:val="20"/>
          <w:lang w:val="sr-Latn-CS"/>
        </w:rPr>
        <w:t>10.</w:t>
      </w:r>
      <w:r w:rsidRPr="006B5569">
        <w:rPr>
          <w:rFonts w:asciiTheme="minorHAnsi" w:hAnsiTheme="minorHAnsi"/>
          <w:color w:val="auto"/>
          <w:sz w:val="20"/>
          <w:szCs w:val="20"/>
          <w:lang w:val="sr-Cyrl-RS"/>
        </w:rPr>
        <w:t xml:space="preserve">933.341,00 </w:t>
      </w:r>
      <w:r w:rsidRPr="006B5569">
        <w:rPr>
          <w:rFonts w:asciiTheme="minorHAnsi" w:hAnsiTheme="minorHAnsi"/>
          <w:color w:val="auto"/>
          <w:sz w:val="20"/>
          <w:szCs w:val="20"/>
          <w:lang w:val="sr-Latn-CS"/>
        </w:rPr>
        <w:t xml:space="preserve">KM, ispravka vrijednosti </w:t>
      </w:r>
      <w:r w:rsidRPr="006B5569">
        <w:rPr>
          <w:rFonts w:asciiTheme="minorHAnsi" w:hAnsiTheme="minorHAnsi"/>
          <w:color w:val="auto"/>
          <w:sz w:val="20"/>
          <w:szCs w:val="20"/>
          <w:lang w:val="sr-Cyrl-RS"/>
        </w:rPr>
        <w:t>5.367.881,00</w:t>
      </w:r>
      <w:r w:rsidRPr="006B5569">
        <w:rPr>
          <w:rFonts w:asciiTheme="minorHAnsi" w:hAnsiTheme="minorHAnsi"/>
          <w:color w:val="auto"/>
          <w:sz w:val="20"/>
          <w:szCs w:val="20"/>
          <w:lang w:val="sr-Latn-CS"/>
        </w:rPr>
        <w:t xml:space="preserve"> KM i neto vrijednost </w:t>
      </w:r>
      <w:r w:rsidRPr="006B5569">
        <w:rPr>
          <w:rFonts w:asciiTheme="minorHAnsi" w:hAnsiTheme="minorHAnsi"/>
          <w:color w:val="auto"/>
          <w:sz w:val="20"/>
          <w:szCs w:val="20"/>
          <w:lang w:val="sr-Cyrl-RS"/>
        </w:rPr>
        <w:t>5.565.460,00 KM.</w:t>
      </w:r>
      <w:r w:rsidRPr="006B5569">
        <w:rPr>
          <w:rFonts w:asciiTheme="minorHAnsi" w:hAnsiTheme="minorHAnsi"/>
          <w:color w:val="auto"/>
          <w:sz w:val="20"/>
          <w:szCs w:val="20"/>
          <w:lang w:val="sr-Latn-CS"/>
        </w:rPr>
        <w:t xml:space="preserve">  Navedeni iznosi se odnose na potraživanja Fonda od Bobar banke a.d.-u </w:t>
      </w:r>
      <w:r w:rsidRPr="006B5569">
        <w:rPr>
          <w:rFonts w:asciiTheme="minorHAnsi" w:hAnsiTheme="minorHAnsi"/>
          <w:color w:val="auto"/>
          <w:sz w:val="20"/>
          <w:szCs w:val="20"/>
          <w:lang w:val="sr-Cyrl-RS"/>
        </w:rPr>
        <w:t>likvidaciji</w:t>
      </w:r>
      <w:r w:rsidRPr="006B5569">
        <w:rPr>
          <w:rFonts w:asciiTheme="minorHAnsi" w:hAnsiTheme="minorHAnsi"/>
          <w:color w:val="auto"/>
          <w:sz w:val="20"/>
          <w:szCs w:val="20"/>
          <w:lang w:val="sr-Latn-CS"/>
        </w:rPr>
        <w:t xml:space="preserve"> i Banke Srpske a.d.-u stečaju.</w:t>
      </w:r>
      <w:r w:rsidRPr="006B5569">
        <w:rPr>
          <w:rFonts w:asciiTheme="minorHAnsi" w:hAnsiTheme="minorHAnsi"/>
          <w:color w:val="auto"/>
          <w:sz w:val="20"/>
          <w:szCs w:val="20"/>
          <w:lang w:val="sr-Cyrl-RS"/>
        </w:rPr>
        <w:t xml:space="preserve"> </w:t>
      </w:r>
      <w:r w:rsidRPr="006B5569">
        <w:rPr>
          <w:rFonts w:asciiTheme="minorHAnsi" w:hAnsiTheme="minorHAnsi"/>
          <w:color w:val="auto"/>
          <w:sz w:val="20"/>
          <w:szCs w:val="20"/>
          <w:lang w:val="sr-Latn-CS"/>
        </w:rPr>
        <w:t>Za potrebe izrade finansijskih izvještaja za 202</w:t>
      </w:r>
      <w:r w:rsidRPr="006B5569">
        <w:rPr>
          <w:rFonts w:asciiTheme="minorHAnsi" w:hAnsiTheme="minorHAnsi"/>
          <w:color w:val="auto"/>
          <w:sz w:val="20"/>
          <w:szCs w:val="20"/>
          <w:lang w:val="sr-Cyrl-RS"/>
        </w:rPr>
        <w:t>4</w:t>
      </w:r>
      <w:r w:rsidRPr="006B5569">
        <w:rPr>
          <w:rFonts w:asciiTheme="minorHAnsi" w:hAnsiTheme="minorHAnsi"/>
          <w:color w:val="auto"/>
          <w:sz w:val="20"/>
          <w:szCs w:val="20"/>
          <w:lang w:val="sr-Latn-CS"/>
        </w:rPr>
        <w:t>.</w:t>
      </w:r>
      <w:r w:rsidRPr="006B5569">
        <w:rPr>
          <w:rFonts w:asciiTheme="minorHAnsi" w:hAnsiTheme="minorHAnsi"/>
          <w:color w:val="auto"/>
          <w:sz w:val="20"/>
          <w:szCs w:val="20"/>
          <w:lang w:val="sr-Cyrl-RS"/>
        </w:rPr>
        <w:t xml:space="preserve"> </w:t>
      </w:r>
      <w:r w:rsidRPr="006B5569">
        <w:rPr>
          <w:rFonts w:asciiTheme="minorHAnsi" w:hAnsiTheme="minorHAnsi"/>
          <w:color w:val="auto"/>
          <w:sz w:val="20"/>
          <w:szCs w:val="20"/>
          <w:lang w:val="sr-Latn-CS"/>
        </w:rPr>
        <w:t>godinu angažovan je ovlašćeni procjenjivač (konsultant) koji je izvršio procjenu potraživanja od pomenutih banaka u stečaju.</w:t>
      </w:r>
      <w:r w:rsidRPr="006B5569">
        <w:rPr>
          <w:rFonts w:asciiTheme="minorHAnsi" w:hAnsiTheme="minorHAnsi"/>
          <w:color w:val="auto"/>
          <w:sz w:val="20"/>
          <w:szCs w:val="20"/>
          <w:lang w:val="sr-Cyrl-RS"/>
        </w:rPr>
        <w:t xml:space="preserve"> </w:t>
      </w:r>
    </w:p>
    <w:p w:rsidR="005934B2" w:rsidRPr="004F03D0" w:rsidRDefault="005934B2" w:rsidP="00A401F8">
      <w:pPr>
        <w:pStyle w:val="ListParagraph"/>
        <w:tabs>
          <w:tab w:val="left" w:pos="1134"/>
        </w:tabs>
        <w:ind w:left="1134"/>
        <w:rPr>
          <w:rFonts w:asciiTheme="minorHAnsi" w:hAnsiTheme="minorHAnsi"/>
          <w:color w:val="auto"/>
          <w:sz w:val="20"/>
          <w:szCs w:val="20"/>
          <w:lang w:val="sr-Cyrl-CS" w:eastAsia="sr-Cyrl-CS"/>
        </w:rPr>
      </w:pPr>
      <w:r w:rsidRPr="0075475E">
        <w:rPr>
          <w:rFonts w:asciiTheme="minorHAnsi" w:hAnsiTheme="minorHAnsi"/>
          <w:color w:val="auto"/>
          <w:sz w:val="20"/>
          <w:szCs w:val="20"/>
          <w:lang w:val="sr-Latn-CS"/>
        </w:rPr>
        <w:t>Prema procjeni konsultanta</w:t>
      </w:r>
      <w:r w:rsidRPr="0075475E">
        <w:rPr>
          <w:rFonts w:asciiTheme="minorHAnsi" w:hAnsiTheme="minorHAnsi"/>
          <w:color w:val="auto"/>
          <w:sz w:val="20"/>
          <w:szCs w:val="20"/>
          <w:lang w:val="sr-Cyrl-RS"/>
        </w:rPr>
        <w:t>,</w:t>
      </w:r>
      <w:r w:rsidRPr="0075475E">
        <w:rPr>
          <w:rFonts w:asciiTheme="minorHAnsi" w:hAnsiTheme="minorHAnsi"/>
          <w:color w:val="auto"/>
          <w:sz w:val="20"/>
          <w:szCs w:val="20"/>
          <w:lang w:val="sr-Latn-CS"/>
        </w:rPr>
        <w:t xml:space="preserve"> vrijednost</w:t>
      </w:r>
      <w:r w:rsidRPr="0075475E">
        <w:rPr>
          <w:rFonts w:asciiTheme="minorHAnsi" w:hAnsiTheme="minorHAnsi"/>
          <w:color w:val="auto"/>
          <w:sz w:val="20"/>
          <w:szCs w:val="20"/>
          <w:lang w:val="sr-Cyrl-RS"/>
        </w:rPr>
        <w:t>i</w:t>
      </w:r>
      <w:r w:rsidRPr="0075475E">
        <w:rPr>
          <w:rFonts w:asciiTheme="minorHAnsi" w:hAnsiTheme="minorHAnsi"/>
          <w:color w:val="auto"/>
          <w:sz w:val="20"/>
          <w:szCs w:val="20"/>
          <w:lang w:val="sr-Latn-CS"/>
        </w:rPr>
        <w:t xml:space="preserve"> potraživanj</w:t>
      </w:r>
      <w:r w:rsidRPr="0075475E">
        <w:rPr>
          <w:rFonts w:asciiTheme="minorHAnsi" w:hAnsiTheme="minorHAnsi"/>
          <w:color w:val="auto"/>
          <w:sz w:val="20"/>
          <w:szCs w:val="20"/>
          <w:lang w:val="sr-Cyrl-BA"/>
        </w:rPr>
        <w:t>a</w:t>
      </w:r>
      <w:r w:rsidRPr="0075475E">
        <w:rPr>
          <w:rFonts w:asciiTheme="minorHAnsi" w:hAnsiTheme="minorHAnsi"/>
          <w:color w:val="auto"/>
          <w:sz w:val="20"/>
          <w:szCs w:val="20"/>
          <w:lang w:val="sr-Latn-CS"/>
        </w:rPr>
        <w:t xml:space="preserve"> koja su bila predmet procjene na dan </w:t>
      </w:r>
      <w:r w:rsidRPr="005D3925">
        <w:rPr>
          <w:rFonts w:asciiTheme="minorHAnsi" w:hAnsiTheme="minorHAnsi"/>
          <w:color w:val="auto"/>
          <w:sz w:val="20"/>
          <w:szCs w:val="20"/>
          <w:lang w:val="sr-Latn-CS"/>
        </w:rPr>
        <w:t>31.12.202</w:t>
      </w:r>
      <w:r>
        <w:rPr>
          <w:rFonts w:asciiTheme="minorHAnsi" w:hAnsiTheme="minorHAnsi"/>
          <w:color w:val="auto"/>
          <w:sz w:val="20"/>
          <w:szCs w:val="20"/>
          <w:lang w:val="sr-Cyrl-RS"/>
        </w:rPr>
        <w:t>4</w:t>
      </w:r>
      <w:r w:rsidRPr="005D3925">
        <w:rPr>
          <w:rFonts w:asciiTheme="minorHAnsi" w:hAnsiTheme="minorHAnsi"/>
          <w:color w:val="auto"/>
          <w:sz w:val="20"/>
          <w:szCs w:val="20"/>
          <w:lang w:val="sr-Latn-CS"/>
        </w:rPr>
        <w:t>.</w:t>
      </w:r>
      <w:r w:rsidRPr="005D3925">
        <w:rPr>
          <w:rFonts w:asciiTheme="minorHAnsi" w:hAnsiTheme="minorHAnsi"/>
          <w:color w:val="auto"/>
          <w:sz w:val="20"/>
          <w:szCs w:val="20"/>
          <w:lang w:val="sr-Cyrl-RS"/>
        </w:rPr>
        <w:t xml:space="preserve"> </w:t>
      </w:r>
      <w:r w:rsidRPr="005D3925">
        <w:rPr>
          <w:rFonts w:asciiTheme="minorHAnsi" w:hAnsiTheme="minorHAnsi"/>
          <w:color w:val="auto"/>
          <w:sz w:val="20"/>
          <w:szCs w:val="20"/>
          <w:lang w:val="sr-Latn-CS"/>
        </w:rPr>
        <w:t>godine  iznose:</w:t>
      </w:r>
    </w:p>
    <w:p w:rsidR="005934B2" w:rsidRPr="005D3925" w:rsidRDefault="005934B2" w:rsidP="00A401F8">
      <w:pPr>
        <w:pStyle w:val="ListParagraph"/>
        <w:tabs>
          <w:tab w:val="left" w:pos="1068"/>
        </w:tabs>
        <w:ind w:left="142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 xml:space="preserve">Bobar banka a.d.-u </w:t>
      </w:r>
      <w:r w:rsidRPr="005D3925">
        <w:rPr>
          <w:rFonts w:asciiTheme="minorHAnsi" w:hAnsiTheme="minorHAnsi"/>
          <w:color w:val="auto"/>
          <w:sz w:val="20"/>
          <w:szCs w:val="20"/>
          <w:lang w:val="sr-Cyrl-RS"/>
        </w:rPr>
        <w:t>likvidaciji</w:t>
      </w:r>
    </w:p>
    <w:p w:rsidR="005934B2" w:rsidRPr="005D3925" w:rsidRDefault="005934B2" w:rsidP="00A401F8">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bruto iznos</w:t>
      </w:r>
      <w:r w:rsidRPr="005D3925">
        <w:rPr>
          <w:rFonts w:asciiTheme="minorHAnsi" w:hAnsiTheme="minorHAnsi"/>
          <w:color w:val="auto"/>
          <w:sz w:val="20"/>
          <w:szCs w:val="20"/>
          <w:lang w:val="sr-Latn-CS"/>
        </w:rPr>
        <w:tab/>
        <w:t>7.438.393</w:t>
      </w:r>
      <w:r w:rsidRPr="005D3925">
        <w:rPr>
          <w:rFonts w:asciiTheme="minorHAnsi" w:hAnsiTheme="minorHAnsi"/>
          <w:color w:val="auto"/>
          <w:sz w:val="20"/>
          <w:szCs w:val="20"/>
          <w:lang w:val="sr-Cyrl-RS"/>
        </w:rPr>
        <w:t>,28</w:t>
      </w:r>
      <w:r w:rsidRPr="005D3925">
        <w:rPr>
          <w:rFonts w:asciiTheme="minorHAnsi" w:hAnsiTheme="minorHAnsi"/>
          <w:color w:val="auto"/>
          <w:sz w:val="20"/>
          <w:szCs w:val="20"/>
          <w:lang w:val="sr-Latn-CS"/>
        </w:rPr>
        <w:t xml:space="preserve"> KM</w:t>
      </w:r>
    </w:p>
    <w:p w:rsidR="005934B2" w:rsidRPr="005D3925" w:rsidRDefault="005934B2" w:rsidP="00A401F8">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ispravka vrijednosti</w:t>
      </w:r>
      <w:r w:rsidRPr="005D3925">
        <w:rPr>
          <w:rFonts w:asciiTheme="minorHAnsi" w:hAnsiTheme="minorHAnsi"/>
          <w:color w:val="auto"/>
          <w:sz w:val="20"/>
          <w:szCs w:val="20"/>
          <w:lang w:val="sr-Latn-CS"/>
        </w:rPr>
        <w:tab/>
      </w:r>
      <w:r>
        <w:rPr>
          <w:rFonts w:asciiTheme="minorHAnsi" w:hAnsiTheme="minorHAnsi"/>
          <w:color w:val="auto"/>
          <w:sz w:val="20"/>
          <w:szCs w:val="20"/>
          <w:lang w:val="sr-Cyrl-RS"/>
        </w:rPr>
        <w:t>3.927.520,85</w:t>
      </w:r>
      <w:r w:rsidRPr="005D3925">
        <w:rPr>
          <w:rFonts w:asciiTheme="minorHAnsi" w:hAnsiTheme="minorHAnsi"/>
          <w:color w:val="auto"/>
          <w:sz w:val="20"/>
          <w:szCs w:val="20"/>
          <w:lang w:val="sr-Cyrl-RS"/>
        </w:rPr>
        <w:t xml:space="preserve"> KM</w:t>
      </w:r>
    </w:p>
    <w:p w:rsidR="005934B2" w:rsidRPr="00F6210D" w:rsidRDefault="005934B2" w:rsidP="00A401F8">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neto vrijednost</w:t>
      </w:r>
      <w:r w:rsidRPr="005D3925">
        <w:rPr>
          <w:rFonts w:asciiTheme="minorHAnsi" w:hAnsiTheme="minorHAnsi"/>
          <w:color w:val="auto"/>
          <w:sz w:val="20"/>
          <w:szCs w:val="20"/>
          <w:lang w:val="sr-Latn-CS"/>
        </w:rPr>
        <w:tab/>
      </w:r>
      <w:r w:rsidRPr="005D3925">
        <w:rPr>
          <w:rFonts w:asciiTheme="minorHAnsi" w:hAnsiTheme="minorHAnsi"/>
          <w:color w:val="auto"/>
          <w:sz w:val="20"/>
          <w:szCs w:val="20"/>
          <w:lang w:val="sr-Cyrl-RS"/>
        </w:rPr>
        <w:t>3.</w:t>
      </w:r>
      <w:r>
        <w:rPr>
          <w:rFonts w:asciiTheme="minorHAnsi" w:hAnsiTheme="minorHAnsi"/>
          <w:color w:val="auto"/>
          <w:sz w:val="20"/>
          <w:szCs w:val="20"/>
          <w:lang w:val="sr-Cyrl-RS"/>
        </w:rPr>
        <w:t>510.872,43</w:t>
      </w:r>
      <w:r w:rsidRPr="005D3925">
        <w:rPr>
          <w:rFonts w:asciiTheme="minorHAnsi" w:hAnsiTheme="minorHAnsi"/>
          <w:color w:val="auto"/>
          <w:sz w:val="20"/>
          <w:szCs w:val="20"/>
          <w:lang w:val="sr-Cyrl-RS"/>
        </w:rPr>
        <w:t xml:space="preserve"> KM</w:t>
      </w:r>
    </w:p>
    <w:p w:rsidR="005934B2" w:rsidRPr="005D3925" w:rsidRDefault="005934B2" w:rsidP="00A401F8">
      <w:pPr>
        <w:pStyle w:val="ListParagraph"/>
        <w:tabs>
          <w:tab w:val="right" w:leader="dot" w:pos="6804"/>
        </w:tabs>
        <w:ind w:left="1418" w:right="-142"/>
        <w:rPr>
          <w:rFonts w:asciiTheme="minorHAnsi" w:hAnsiTheme="minorHAnsi"/>
          <w:color w:val="auto"/>
          <w:sz w:val="20"/>
          <w:szCs w:val="20"/>
          <w:lang w:val="sr-Latn-CS"/>
        </w:rPr>
      </w:pPr>
    </w:p>
    <w:p w:rsidR="005934B2" w:rsidRDefault="005934B2" w:rsidP="00A401F8">
      <w:pPr>
        <w:tabs>
          <w:tab w:val="right" w:leader="dot" w:pos="6804"/>
        </w:tabs>
        <w:ind w:left="1058" w:right="-142"/>
        <w:rPr>
          <w:rFonts w:asciiTheme="minorHAnsi" w:hAnsiTheme="minorHAnsi"/>
          <w:color w:val="auto"/>
          <w:sz w:val="20"/>
          <w:szCs w:val="20"/>
          <w:lang w:val="sr-Cyrl-RS"/>
        </w:rPr>
      </w:pPr>
      <w:r>
        <w:rPr>
          <w:rFonts w:asciiTheme="minorHAnsi" w:hAnsiTheme="minorHAnsi"/>
          <w:color w:val="auto"/>
          <w:sz w:val="20"/>
          <w:szCs w:val="20"/>
          <w:lang w:val="sr-Cyrl-RS"/>
        </w:rPr>
        <w:tab/>
      </w:r>
      <w:r w:rsidRPr="005D3925">
        <w:rPr>
          <w:rFonts w:asciiTheme="minorHAnsi" w:hAnsiTheme="minorHAnsi"/>
          <w:color w:val="auto"/>
          <w:sz w:val="20"/>
          <w:szCs w:val="20"/>
          <w:lang w:val="sr-Cyrl-RS"/>
        </w:rPr>
        <w:t>U odnosu na 202</w:t>
      </w:r>
      <w:r>
        <w:rPr>
          <w:rFonts w:asciiTheme="minorHAnsi" w:hAnsiTheme="minorHAnsi"/>
          <w:color w:val="auto"/>
          <w:sz w:val="20"/>
          <w:szCs w:val="20"/>
          <w:lang w:val="sr-Cyrl-RS"/>
        </w:rPr>
        <w:t>3</w:t>
      </w:r>
      <w:r w:rsidRPr="005D3925">
        <w:rPr>
          <w:rFonts w:asciiTheme="minorHAnsi" w:hAnsiTheme="minorHAnsi"/>
          <w:color w:val="auto"/>
          <w:sz w:val="20"/>
          <w:szCs w:val="20"/>
          <w:lang w:val="sr-Cyrl-RS"/>
        </w:rPr>
        <w:t xml:space="preserve">. godinu, procijenjena vrijednost potraživanja od Bobar banke a.d.-u </w:t>
      </w:r>
      <w:r>
        <w:rPr>
          <w:rFonts w:asciiTheme="minorHAnsi" w:hAnsiTheme="minorHAnsi"/>
          <w:color w:val="auto"/>
          <w:sz w:val="20"/>
          <w:szCs w:val="20"/>
          <w:lang w:val="sr-Cyrl-RS"/>
        </w:rPr>
        <w:t xml:space="preserve">      </w:t>
      </w:r>
      <w:r w:rsidRPr="005D3925">
        <w:rPr>
          <w:rFonts w:asciiTheme="minorHAnsi" w:hAnsiTheme="minorHAnsi"/>
          <w:color w:val="auto"/>
          <w:sz w:val="20"/>
          <w:szCs w:val="20"/>
          <w:lang w:val="sr-Cyrl-RS"/>
        </w:rPr>
        <w:t xml:space="preserve">likvidaciji je manja za </w:t>
      </w:r>
      <w:r>
        <w:rPr>
          <w:rFonts w:asciiTheme="minorHAnsi" w:hAnsiTheme="minorHAnsi"/>
          <w:color w:val="auto"/>
          <w:sz w:val="20"/>
          <w:szCs w:val="20"/>
          <w:lang w:val="sr-Cyrl-RS"/>
        </w:rPr>
        <w:t>178.723,98</w:t>
      </w:r>
      <w:r w:rsidRPr="005D3925">
        <w:rPr>
          <w:rFonts w:asciiTheme="minorHAnsi" w:hAnsiTheme="minorHAnsi"/>
          <w:color w:val="auto"/>
          <w:sz w:val="20"/>
          <w:szCs w:val="20"/>
          <w:lang w:val="sr-Cyrl-RS"/>
        </w:rPr>
        <w:t xml:space="preserve"> KM i na dan 31.12.202</w:t>
      </w:r>
      <w:r>
        <w:rPr>
          <w:rFonts w:asciiTheme="minorHAnsi" w:hAnsiTheme="minorHAnsi"/>
          <w:color w:val="auto"/>
          <w:sz w:val="20"/>
          <w:szCs w:val="20"/>
          <w:lang w:val="sr-Cyrl-RS"/>
        </w:rPr>
        <w:t>4</w:t>
      </w:r>
      <w:r w:rsidRPr="005D3925">
        <w:rPr>
          <w:rFonts w:asciiTheme="minorHAnsi" w:hAnsiTheme="minorHAnsi"/>
          <w:color w:val="auto"/>
          <w:sz w:val="20"/>
          <w:szCs w:val="20"/>
          <w:lang w:val="sr-Cyrl-RS"/>
        </w:rPr>
        <w:t>. godine iznosi 3.</w:t>
      </w:r>
      <w:r>
        <w:rPr>
          <w:rFonts w:asciiTheme="minorHAnsi" w:hAnsiTheme="minorHAnsi"/>
          <w:color w:val="auto"/>
          <w:sz w:val="20"/>
          <w:szCs w:val="20"/>
          <w:lang w:val="sr-Cyrl-RS"/>
        </w:rPr>
        <w:t>510.872,43</w:t>
      </w:r>
      <w:r w:rsidRPr="005D3925">
        <w:rPr>
          <w:rFonts w:asciiTheme="minorHAnsi" w:hAnsiTheme="minorHAnsi"/>
          <w:color w:val="auto"/>
          <w:sz w:val="20"/>
          <w:szCs w:val="20"/>
          <w:lang w:val="sr-Cyrl-RS"/>
        </w:rPr>
        <w:t xml:space="preserve"> KM.</w:t>
      </w:r>
      <w:r>
        <w:rPr>
          <w:rFonts w:asciiTheme="minorHAnsi" w:hAnsiTheme="minorHAnsi"/>
          <w:color w:val="auto"/>
          <w:sz w:val="20"/>
          <w:szCs w:val="20"/>
          <w:lang w:val="sr-Cyrl-RS"/>
        </w:rPr>
        <w:t xml:space="preserve"> </w:t>
      </w:r>
    </w:p>
    <w:p w:rsidR="005934B2" w:rsidRPr="005D3925" w:rsidRDefault="005934B2" w:rsidP="00A401F8">
      <w:pPr>
        <w:tabs>
          <w:tab w:val="right" w:leader="dot" w:pos="6804"/>
        </w:tabs>
        <w:ind w:right="-142"/>
        <w:rPr>
          <w:rFonts w:asciiTheme="minorHAnsi" w:hAnsiTheme="minorHAnsi"/>
          <w:color w:val="auto"/>
          <w:sz w:val="20"/>
          <w:szCs w:val="20"/>
          <w:lang w:val="sr-Cyrl-RS"/>
        </w:rPr>
      </w:pPr>
    </w:p>
    <w:p w:rsidR="005934B2" w:rsidRPr="005D3925" w:rsidRDefault="005934B2" w:rsidP="00A401F8">
      <w:pPr>
        <w:pStyle w:val="ListParagraph"/>
        <w:tabs>
          <w:tab w:val="left" w:pos="1134"/>
        </w:tabs>
        <w:ind w:left="142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Banka Srpske a.d.-u stečaju</w:t>
      </w:r>
    </w:p>
    <w:p w:rsidR="005934B2" w:rsidRPr="005D3925" w:rsidRDefault="005934B2" w:rsidP="00A401F8">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bruto iznos</w:t>
      </w:r>
      <w:r w:rsidRPr="005D3925">
        <w:rPr>
          <w:rFonts w:asciiTheme="minorHAnsi" w:hAnsiTheme="minorHAnsi"/>
          <w:color w:val="auto"/>
          <w:sz w:val="20"/>
          <w:szCs w:val="20"/>
          <w:lang w:val="sr-Latn-CS"/>
        </w:rPr>
        <w:tab/>
        <w:t>3.</w:t>
      </w:r>
      <w:r>
        <w:rPr>
          <w:rFonts w:asciiTheme="minorHAnsi" w:hAnsiTheme="minorHAnsi"/>
          <w:color w:val="auto"/>
          <w:sz w:val="20"/>
          <w:szCs w:val="20"/>
          <w:lang w:val="sr-Cyrl-RS"/>
        </w:rPr>
        <w:t>494.948,05</w:t>
      </w:r>
      <w:r w:rsidRPr="005D3925">
        <w:rPr>
          <w:rFonts w:asciiTheme="minorHAnsi" w:hAnsiTheme="minorHAnsi"/>
          <w:color w:val="auto"/>
          <w:sz w:val="20"/>
          <w:szCs w:val="20"/>
          <w:lang w:val="sr-Latn-CS"/>
        </w:rPr>
        <w:t>KM</w:t>
      </w:r>
    </w:p>
    <w:p w:rsidR="005934B2" w:rsidRPr="005D3925" w:rsidRDefault="005934B2" w:rsidP="00A401F8">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ispravka vrijednosti</w:t>
      </w:r>
      <w:r w:rsidRPr="005D3925">
        <w:rPr>
          <w:rFonts w:asciiTheme="minorHAnsi" w:hAnsiTheme="minorHAnsi"/>
          <w:color w:val="auto"/>
          <w:sz w:val="20"/>
          <w:szCs w:val="20"/>
          <w:lang w:val="sr-Latn-CS"/>
        </w:rPr>
        <w:tab/>
      </w:r>
      <w:r>
        <w:rPr>
          <w:rFonts w:asciiTheme="minorHAnsi" w:hAnsiTheme="minorHAnsi"/>
          <w:color w:val="auto"/>
          <w:sz w:val="20"/>
          <w:szCs w:val="20"/>
          <w:lang w:val="sr-Cyrl-RS"/>
        </w:rPr>
        <w:t>1.440.359,92 KM</w:t>
      </w:r>
    </w:p>
    <w:p w:rsidR="005934B2" w:rsidRPr="00F6210D" w:rsidRDefault="005934B2" w:rsidP="00A401F8">
      <w:pPr>
        <w:pStyle w:val="ListParagraph"/>
        <w:numPr>
          <w:ilvl w:val="0"/>
          <w:numId w:val="28"/>
        </w:numPr>
        <w:tabs>
          <w:tab w:val="right" w:leader="dot" w:pos="6804"/>
        </w:tabs>
        <w:ind w:left="1418" w:right="-142"/>
        <w:rPr>
          <w:rFonts w:asciiTheme="minorHAnsi" w:hAnsiTheme="minorHAnsi"/>
          <w:color w:val="auto"/>
          <w:sz w:val="20"/>
          <w:szCs w:val="20"/>
          <w:lang w:val="sr-Latn-CS"/>
        </w:rPr>
      </w:pPr>
      <w:r w:rsidRPr="005D3925">
        <w:rPr>
          <w:rFonts w:asciiTheme="minorHAnsi" w:hAnsiTheme="minorHAnsi"/>
          <w:color w:val="auto"/>
          <w:sz w:val="20"/>
          <w:szCs w:val="20"/>
          <w:lang w:val="sr-Latn-CS"/>
        </w:rPr>
        <w:t>neto vrijednost</w:t>
      </w:r>
      <w:r w:rsidRPr="005D3925">
        <w:rPr>
          <w:rFonts w:asciiTheme="minorHAnsi" w:hAnsiTheme="minorHAnsi"/>
          <w:color w:val="auto"/>
          <w:sz w:val="20"/>
          <w:szCs w:val="20"/>
          <w:lang w:val="sr-Latn-CS"/>
        </w:rPr>
        <w:tab/>
      </w:r>
      <w:r w:rsidRPr="005D3925">
        <w:rPr>
          <w:rFonts w:asciiTheme="minorHAnsi" w:hAnsiTheme="minorHAnsi"/>
          <w:color w:val="auto"/>
          <w:sz w:val="20"/>
          <w:szCs w:val="20"/>
          <w:lang w:val="sr-Cyrl-RS"/>
        </w:rPr>
        <w:t>2.</w:t>
      </w:r>
      <w:r>
        <w:rPr>
          <w:rFonts w:asciiTheme="minorHAnsi" w:hAnsiTheme="minorHAnsi"/>
          <w:color w:val="auto"/>
          <w:sz w:val="20"/>
          <w:szCs w:val="20"/>
          <w:lang w:val="sr-Cyrl-RS"/>
        </w:rPr>
        <w:t>054.588,13</w:t>
      </w:r>
      <w:r w:rsidRPr="005D3925">
        <w:rPr>
          <w:rFonts w:asciiTheme="minorHAnsi" w:hAnsiTheme="minorHAnsi"/>
          <w:color w:val="auto"/>
          <w:sz w:val="20"/>
          <w:szCs w:val="20"/>
          <w:lang w:val="sr-Latn-CS"/>
        </w:rPr>
        <w:t xml:space="preserve"> KM</w:t>
      </w:r>
      <w:r w:rsidRPr="005D3925">
        <w:rPr>
          <w:rFonts w:asciiTheme="minorHAnsi" w:hAnsiTheme="minorHAnsi"/>
          <w:color w:val="auto"/>
          <w:sz w:val="20"/>
          <w:szCs w:val="20"/>
          <w:lang w:val="sr-Cyrl-RS"/>
        </w:rPr>
        <w:t xml:space="preserve"> </w:t>
      </w:r>
    </w:p>
    <w:p w:rsidR="005934B2" w:rsidRPr="005D3925" w:rsidRDefault="005934B2" w:rsidP="00A401F8">
      <w:pPr>
        <w:pStyle w:val="ListParagraph"/>
        <w:tabs>
          <w:tab w:val="right" w:leader="dot" w:pos="6804"/>
        </w:tabs>
        <w:ind w:left="1418" w:right="-142"/>
        <w:rPr>
          <w:rFonts w:asciiTheme="minorHAnsi" w:hAnsiTheme="minorHAnsi"/>
          <w:color w:val="auto"/>
          <w:sz w:val="20"/>
          <w:szCs w:val="20"/>
          <w:lang w:val="sr-Latn-CS"/>
        </w:rPr>
      </w:pPr>
    </w:p>
    <w:p w:rsidR="005934B2" w:rsidRDefault="005934B2" w:rsidP="00A401F8">
      <w:pPr>
        <w:ind w:left="1058" w:firstLine="10"/>
        <w:rPr>
          <w:rFonts w:asciiTheme="minorHAnsi" w:hAnsiTheme="minorHAnsi"/>
          <w:color w:val="auto"/>
          <w:sz w:val="20"/>
          <w:szCs w:val="20"/>
          <w:lang w:val="sr-Cyrl-RS"/>
        </w:rPr>
      </w:pPr>
      <w:r w:rsidRPr="005D3925">
        <w:rPr>
          <w:rFonts w:asciiTheme="minorHAnsi" w:hAnsiTheme="minorHAnsi"/>
          <w:color w:val="auto"/>
          <w:sz w:val="20"/>
          <w:szCs w:val="20"/>
          <w:lang w:val="sr-Cyrl-RS"/>
        </w:rPr>
        <w:t>U odnosu na 202</w:t>
      </w:r>
      <w:r>
        <w:rPr>
          <w:rFonts w:asciiTheme="minorHAnsi" w:hAnsiTheme="minorHAnsi"/>
          <w:color w:val="auto"/>
          <w:sz w:val="20"/>
          <w:szCs w:val="20"/>
          <w:lang w:val="sr-Cyrl-RS"/>
        </w:rPr>
        <w:t>3</w:t>
      </w:r>
      <w:r w:rsidRPr="005D3925">
        <w:rPr>
          <w:rFonts w:asciiTheme="minorHAnsi" w:hAnsiTheme="minorHAnsi"/>
          <w:color w:val="auto"/>
          <w:sz w:val="20"/>
          <w:szCs w:val="20"/>
          <w:lang w:val="sr-Cyrl-RS"/>
        </w:rPr>
        <w:t>. godinu, procijenjena vrijednost potraživanja od B</w:t>
      </w:r>
      <w:r>
        <w:rPr>
          <w:rFonts w:asciiTheme="minorHAnsi" w:hAnsiTheme="minorHAnsi"/>
          <w:color w:val="auto"/>
          <w:sz w:val="20"/>
          <w:szCs w:val="20"/>
          <w:lang w:val="sr-Cyrl-RS"/>
        </w:rPr>
        <w:t>anke Srpske a.d.-u      stečaju</w:t>
      </w:r>
      <w:r w:rsidRPr="005D3925">
        <w:rPr>
          <w:rFonts w:asciiTheme="minorHAnsi" w:hAnsiTheme="minorHAnsi"/>
          <w:color w:val="auto"/>
          <w:sz w:val="20"/>
          <w:szCs w:val="20"/>
          <w:lang w:val="sr-Cyrl-RS"/>
        </w:rPr>
        <w:t xml:space="preserve"> je </w:t>
      </w:r>
      <w:r w:rsidRPr="006A5837">
        <w:rPr>
          <w:rFonts w:asciiTheme="minorHAnsi" w:hAnsiTheme="minorHAnsi"/>
          <w:color w:val="000000" w:themeColor="text1"/>
          <w:sz w:val="20"/>
          <w:szCs w:val="20"/>
          <w:lang w:val="sr-Cyrl-RS"/>
        </w:rPr>
        <w:t xml:space="preserve">veća za 13.356,15 KM i na dan 31.12.2024. godine iznosi 2.054.588,13 KM. </w:t>
      </w:r>
    </w:p>
    <w:p w:rsidR="005934B2" w:rsidRDefault="005934B2" w:rsidP="00A401F8">
      <w:pPr>
        <w:rPr>
          <w:rFonts w:asciiTheme="minorHAnsi" w:hAnsiTheme="minorHAnsi"/>
          <w:color w:val="auto"/>
          <w:sz w:val="20"/>
          <w:szCs w:val="20"/>
          <w:lang w:val="sr-Cyrl-RS"/>
        </w:rPr>
      </w:pPr>
    </w:p>
    <w:p w:rsidR="005934B2" w:rsidRDefault="005934B2" w:rsidP="00A401F8">
      <w:pPr>
        <w:ind w:left="993" w:hanging="285"/>
        <w:rPr>
          <w:rFonts w:asciiTheme="minorHAnsi" w:hAnsiTheme="minorHAnsi"/>
          <w:color w:val="auto"/>
          <w:sz w:val="20"/>
          <w:szCs w:val="20"/>
          <w:lang w:val="sr-Cyrl-RS"/>
        </w:rPr>
      </w:pPr>
      <w:r>
        <w:rPr>
          <w:rFonts w:asciiTheme="minorHAnsi" w:hAnsiTheme="minorHAnsi"/>
          <w:color w:val="auto"/>
          <w:sz w:val="20"/>
          <w:szCs w:val="20"/>
          <w:lang w:val="sr-Cyrl-RS"/>
        </w:rPr>
        <w:t xml:space="preserve">        </w:t>
      </w:r>
      <w:r w:rsidRPr="00EA7186">
        <w:rPr>
          <w:rFonts w:asciiTheme="minorHAnsi" w:hAnsiTheme="minorHAnsi"/>
          <w:color w:val="auto"/>
          <w:sz w:val="20"/>
          <w:szCs w:val="20"/>
          <w:lang w:val="sr-Latn-CS"/>
        </w:rPr>
        <w:t>U knjigovodstvenoj evidenciji su sprovedena odgovarajuća knjiženja u cilju usklađivanja knjigovodstvene s procjenjenom vrijednosti potraživanja od navedenih banaka koje su u stečajnom</w:t>
      </w:r>
      <w:r>
        <w:rPr>
          <w:rFonts w:asciiTheme="minorHAnsi" w:hAnsiTheme="minorHAnsi"/>
          <w:color w:val="auto"/>
          <w:sz w:val="20"/>
          <w:szCs w:val="20"/>
          <w:lang w:val="sr-Cyrl-RS"/>
        </w:rPr>
        <w:t xml:space="preserve">, odnosno likvidacionom </w:t>
      </w:r>
      <w:r w:rsidRPr="00EA7186">
        <w:rPr>
          <w:rFonts w:asciiTheme="minorHAnsi" w:hAnsiTheme="minorHAnsi"/>
          <w:color w:val="auto"/>
          <w:sz w:val="20"/>
          <w:szCs w:val="20"/>
          <w:lang w:val="sr-Latn-CS"/>
        </w:rPr>
        <w:t>postupku na dan bilansiranja.</w:t>
      </w:r>
      <w:r w:rsidRPr="00A21B44">
        <w:rPr>
          <w:rFonts w:asciiTheme="minorHAnsi" w:hAnsiTheme="minorHAnsi"/>
          <w:color w:val="000000" w:themeColor="text1"/>
          <w:sz w:val="20"/>
          <w:szCs w:val="20"/>
          <w:lang w:val="sr-Cyrl-RS"/>
        </w:rPr>
        <w:t xml:space="preserve"> </w:t>
      </w:r>
      <w:r w:rsidRPr="006A5837">
        <w:rPr>
          <w:rFonts w:asciiTheme="minorHAnsi" w:hAnsiTheme="minorHAnsi"/>
          <w:color w:val="000000" w:themeColor="text1"/>
          <w:sz w:val="20"/>
          <w:szCs w:val="20"/>
          <w:lang w:val="sr-Cyrl-RS"/>
        </w:rPr>
        <w:t>Ukupna procijenjena vrijednost potraživanja po oba osnova je manja za 165.367,83 KM u odnosu na 2023. godinu, te su za navedeni iznos korigovana bruto potraživanj</w:t>
      </w:r>
      <w:r>
        <w:rPr>
          <w:rFonts w:asciiTheme="minorHAnsi" w:hAnsiTheme="minorHAnsi"/>
          <w:color w:val="000000" w:themeColor="text1"/>
          <w:sz w:val="20"/>
          <w:szCs w:val="20"/>
          <w:lang w:val="sr-Cyrl-RS"/>
        </w:rPr>
        <w:t>a Fonda od dvije navedene banke.</w:t>
      </w:r>
    </w:p>
    <w:p w:rsidR="005934B2" w:rsidRDefault="005934B2" w:rsidP="00A401F8">
      <w:pPr>
        <w:rPr>
          <w:rFonts w:asciiTheme="minorHAnsi" w:hAnsiTheme="minorHAnsi"/>
          <w:color w:val="auto"/>
          <w:sz w:val="20"/>
          <w:szCs w:val="20"/>
          <w:lang w:val="sr-Cyrl-RS"/>
        </w:rPr>
      </w:pPr>
    </w:p>
    <w:p w:rsidR="005934B2" w:rsidRPr="00F6210D" w:rsidRDefault="005934B2" w:rsidP="00A401F8">
      <w:pPr>
        <w:rPr>
          <w:rFonts w:asciiTheme="minorHAnsi" w:hAnsiTheme="minorHAnsi"/>
          <w:color w:val="auto"/>
          <w:sz w:val="20"/>
          <w:szCs w:val="20"/>
          <w:lang w:val="sr-Cyrl-RS"/>
        </w:rPr>
      </w:pPr>
    </w:p>
    <w:p w:rsidR="005934B2" w:rsidRPr="006B5569" w:rsidRDefault="005934B2" w:rsidP="00A401F8">
      <w:pPr>
        <w:pStyle w:val="ListParagraph"/>
        <w:ind w:left="1134"/>
        <w:rPr>
          <w:rFonts w:asciiTheme="minorHAnsi" w:hAnsiTheme="minorHAnsi"/>
          <w:color w:val="auto"/>
          <w:sz w:val="20"/>
          <w:szCs w:val="20"/>
          <w:lang w:val="sr-Cyrl-RS"/>
        </w:rPr>
      </w:pPr>
      <w:r w:rsidRPr="004F03D0">
        <w:rPr>
          <w:rFonts w:asciiTheme="minorHAnsi" w:hAnsiTheme="minorHAnsi"/>
          <w:b/>
          <w:i/>
          <w:color w:val="auto"/>
          <w:sz w:val="20"/>
          <w:szCs w:val="20"/>
          <w:lang w:val="sr-Cyrl-CS" w:eastAsia="sr-Cyrl-CS"/>
        </w:rPr>
        <w:t>2.</w:t>
      </w:r>
      <w:r>
        <w:rPr>
          <w:rFonts w:asciiTheme="minorHAnsi" w:hAnsiTheme="minorHAnsi"/>
          <w:i/>
          <w:color w:val="auto"/>
          <w:sz w:val="20"/>
          <w:szCs w:val="20"/>
          <w:lang w:val="sr-Cyrl-CS" w:eastAsia="sr-Cyrl-CS"/>
        </w:rPr>
        <w:t xml:space="preserve"> </w:t>
      </w:r>
      <w:r w:rsidRPr="004F03D0">
        <w:rPr>
          <w:rFonts w:asciiTheme="minorHAnsi" w:hAnsiTheme="minorHAnsi"/>
          <w:i/>
          <w:color w:val="auto"/>
          <w:sz w:val="20"/>
          <w:szCs w:val="20"/>
          <w:lang w:val="sr-Cyrl-CS" w:eastAsia="sr-Cyrl-CS"/>
        </w:rPr>
        <w:t>plasmani za izvršena plaćanja po protestovanim garancijama</w:t>
      </w:r>
      <w:r>
        <w:rPr>
          <w:rFonts w:asciiTheme="minorHAnsi" w:hAnsiTheme="minorHAnsi"/>
          <w:color w:val="auto"/>
          <w:sz w:val="20"/>
          <w:szCs w:val="20"/>
          <w:lang w:val="sr-Cyrl-CS" w:eastAsia="sr-Cyrl-CS"/>
        </w:rPr>
        <w:t xml:space="preserve"> u iznosu od 2.447.579,11 KM</w:t>
      </w:r>
      <w:r w:rsidRPr="006B5569">
        <w:rPr>
          <w:rFonts w:asciiTheme="minorHAnsi" w:hAnsiTheme="minorHAnsi"/>
          <w:color w:val="auto"/>
          <w:sz w:val="20"/>
          <w:szCs w:val="20"/>
          <w:lang w:val="sr-Cyrl-RS"/>
        </w:rPr>
        <w:t xml:space="preserve"> sa ispravkom vrijednosti,</w:t>
      </w:r>
      <w:r w:rsidRPr="006B5569">
        <w:rPr>
          <w:rFonts w:asciiTheme="minorHAnsi" w:hAnsiTheme="minorHAnsi"/>
          <w:color w:val="auto"/>
          <w:sz w:val="20"/>
          <w:szCs w:val="20"/>
          <w:lang w:val="sr-Latn-RS"/>
        </w:rPr>
        <w:t xml:space="preserve"> </w:t>
      </w:r>
      <w:r w:rsidRPr="006B5569">
        <w:rPr>
          <w:rFonts w:asciiTheme="minorHAnsi" w:hAnsiTheme="minorHAnsi"/>
          <w:color w:val="auto"/>
          <w:sz w:val="20"/>
          <w:szCs w:val="20"/>
          <w:lang w:val="sr-Cyrl-RS"/>
        </w:rPr>
        <w:t xml:space="preserve">od čega se 2.260.977,59 KM odnosi na garancije plaćene u 2024. godini, a preostali dio na garancije plaćene tokom ranijih godina, gdje još nisu završeni postupci regresne naplate. Tokom 2024. godine je plaćena garancija za klijenta Mane komerc d.o.o. u iznosu od </w:t>
      </w:r>
      <w:r w:rsidRPr="006B5569">
        <w:rPr>
          <w:rFonts w:asciiTheme="minorHAnsi" w:hAnsiTheme="minorHAnsi"/>
          <w:color w:val="auto"/>
          <w:sz w:val="20"/>
          <w:szCs w:val="20"/>
          <w:lang w:val="sr-Latn-RS"/>
        </w:rPr>
        <w:t>1.4</w:t>
      </w:r>
      <w:r w:rsidRPr="006B5569">
        <w:rPr>
          <w:rFonts w:asciiTheme="minorHAnsi" w:hAnsiTheme="minorHAnsi"/>
          <w:color w:val="auto"/>
          <w:sz w:val="20"/>
          <w:szCs w:val="20"/>
          <w:lang w:val="sr-Cyrl-RS"/>
        </w:rPr>
        <w:t>85</w:t>
      </w:r>
      <w:r w:rsidRPr="006B5569">
        <w:rPr>
          <w:rFonts w:asciiTheme="minorHAnsi" w:hAnsiTheme="minorHAnsi"/>
          <w:color w:val="auto"/>
          <w:sz w:val="20"/>
          <w:szCs w:val="20"/>
          <w:lang w:val="sr-Latn-RS"/>
        </w:rPr>
        <w:t>.962,50 KM</w:t>
      </w:r>
      <w:r w:rsidRPr="006B5569">
        <w:rPr>
          <w:rFonts w:asciiTheme="minorHAnsi" w:hAnsiTheme="minorHAnsi"/>
          <w:color w:val="auto"/>
          <w:sz w:val="20"/>
          <w:szCs w:val="20"/>
          <w:lang w:val="sr-Cyrl-RS"/>
        </w:rPr>
        <w:t xml:space="preserve"> i za klijenta Pileprom d.o.o. u iznosu od </w:t>
      </w:r>
      <w:r w:rsidRPr="006B5569">
        <w:rPr>
          <w:rFonts w:asciiTheme="minorHAnsi" w:hAnsiTheme="minorHAnsi"/>
          <w:color w:val="auto"/>
          <w:sz w:val="20"/>
          <w:szCs w:val="20"/>
          <w:lang w:val="sr-Latn-RS"/>
        </w:rPr>
        <w:t>502.772</w:t>
      </w:r>
      <w:r w:rsidRPr="006B5569">
        <w:rPr>
          <w:rFonts w:asciiTheme="minorHAnsi" w:hAnsiTheme="minorHAnsi"/>
          <w:color w:val="auto"/>
          <w:sz w:val="20"/>
          <w:szCs w:val="20"/>
          <w:lang w:val="sr-Cyrl-RS"/>
        </w:rPr>
        <w:t>,02</w:t>
      </w:r>
      <w:r w:rsidRPr="006B5569">
        <w:rPr>
          <w:rFonts w:asciiTheme="minorHAnsi" w:hAnsiTheme="minorHAnsi"/>
          <w:color w:val="auto"/>
          <w:sz w:val="20"/>
          <w:szCs w:val="20"/>
          <w:lang w:val="sr-Latn-RS"/>
        </w:rPr>
        <w:t xml:space="preserve"> KM</w:t>
      </w:r>
      <w:r w:rsidRPr="006B5569">
        <w:rPr>
          <w:rFonts w:asciiTheme="minorHAnsi" w:hAnsiTheme="minorHAnsi"/>
          <w:color w:val="auto"/>
          <w:sz w:val="20"/>
          <w:szCs w:val="20"/>
          <w:lang w:val="sr-Cyrl-RS"/>
        </w:rPr>
        <w:t>. Iznos od 220.800,33 KM se odnosi na plaćene garancije po osnovu emitovanih hartija od vrijednosti za klijenta Interlignum d.o.o, dok se preostali iznos od 51.442,74 KM odnosi na dvije plaćene garancije iz kreditnog portfelja.</w:t>
      </w:r>
      <w:r w:rsidRPr="006B5569">
        <w:rPr>
          <w:rFonts w:asciiTheme="minorHAnsi" w:hAnsiTheme="minorHAnsi"/>
          <w:color w:val="auto"/>
          <w:sz w:val="20"/>
          <w:szCs w:val="20"/>
          <w:lang w:val="sr-Latn-CS"/>
        </w:rPr>
        <w:t>Konstatova</w:t>
      </w:r>
      <w:r w:rsidRPr="006B5569">
        <w:rPr>
          <w:rFonts w:asciiTheme="minorHAnsi" w:hAnsiTheme="minorHAnsi"/>
          <w:color w:val="auto"/>
          <w:sz w:val="20"/>
          <w:szCs w:val="20"/>
          <w:lang w:val="sr-Cyrl-BA"/>
        </w:rPr>
        <w:t xml:space="preserve">no je </w:t>
      </w:r>
      <w:r w:rsidRPr="006B5569">
        <w:rPr>
          <w:rFonts w:asciiTheme="minorHAnsi" w:hAnsiTheme="minorHAnsi"/>
          <w:color w:val="auto"/>
          <w:sz w:val="20"/>
          <w:szCs w:val="20"/>
          <w:lang w:val="sr-Latn-CS"/>
        </w:rPr>
        <w:t>da Fond primjenjuje usvojenu metodologiju za procjenu očekivanih gubitaka rađenu prema MSFI-9 Finansijski instrumenti.</w:t>
      </w:r>
      <w:r w:rsidRPr="006B5569">
        <w:rPr>
          <w:rFonts w:asciiTheme="minorHAnsi" w:hAnsiTheme="minorHAnsi"/>
          <w:color w:val="auto"/>
          <w:sz w:val="20"/>
          <w:szCs w:val="20"/>
          <w:lang w:val="sr-Cyrl-RS"/>
        </w:rPr>
        <w:t xml:space="preserve"> Prema revizorskom izvještaju, n</w:t>
      </w:r>
      <w:r w:rsidRPr="006B5569">
        <w:rPr>
          <w:rFonts w:asciiTheme="minorHAnsi" w:hAnsiTheme="minorHAnsi"/>
          <w:color w:val="auto"/>
          <w:sz w:val="20"/>
          <w:szCs w:val="20"/>
          <w:lang w:val="sr-Latn-CS"/>
        </w:rPr>
        <w:t>is</w:t>
      </w:r>
      <w:r w:rsidRPr="006B5569">
        <w:rPr>
          <w:rFonts w:asciiTheme="minorHAnsi" w:hAnsiTheme="minorHAnsi"/>
          <w:color w:val="auto"/>
          <w:sz w:val="20"/>
          <w:szCs w:val="20"/>
          <w:lang w:val="sr-Cyrl-BA"/>
        </w:rPr>
        <w:t>u</w:t>
      </w:r>
      <w:r w:rsidRPr="006B5569">
        <w:rPr>
          <w:rFonts w:asciiTheme="minorHAnsi" w:hAnsiTheme="minorHAnsi"/>
          <w:color w:val="auto"/>
          <w:sz w:val="20"/>
          <w:szCs w:val="20"/>
          <w:lang w:val="sr-Latn-CS"/>
        </w:rPr>
        <w:t xml:space="preserve"> identifikova</w:t>
      </w:r>
      <w:r w:rsidRPr="006B5569">
        <w:rPr>
          <w:rFonts w:asciiTheme="minorHAnsi" w:hAnsiTheme="minorHAnsi"/>
          <w:color w:val="auto"/>
          <w:sz w:val="20"/>
          <w:szCs w:val="20"/>
          <w:lang w:val="sr-Cyrl-BA"/>
        </w:rPr>
        <w:t>ne</w:t>
      </w:r>
      <w:r w:rsidRPr="006B5569">
        <w:rPr>
          <w:rFonts w:asciiTheme="minorHAnsi" w:hAnsiTheme="minorHAnsi"/>
          <w:color w:val="auto"/>
          <w:sz w:val="20"/>
          <w:szCs w:val="20"/>
          <w:lang w:val="sr-Latn-CS"/>
        </w:rPr>
        <w:t xml:space="preserve"> nepravilnosti u vezi sa vrednovanjem </w:t>
      </w:r>
      <w:r w:rsidRPr="006B5569">
        <w:rPr>
          <w:rFonts w:asciiTheme="minorHAnsi" w:hAnsiTheme="minorHAnsi"/>
          <w:color w:val="auto"/>
          <w:sz w:val="20"/>
          <w:szCs w:val="20"/>
          <w:lang w:val="sr-Cyrl-BA"/>
        </w:rPr>
        <w:t>„</w:t>
      </w:r>
      <w:r w:rsidRPr="006B5569">
        <w:rPr>
          <w:rFonts w:asciiTheme="minorHAnsi" w:hAnsiTheme="minorHAnsi"/>
          <w:color w:val="auto"/>
          <w:sz w:val="20"/>
          <w:szCs w:val="20"/>
          <w:lang w:val="sr-Latn-CS"/>
        </w:rPr>
        <w:t>Ostalih plasmana u domaćoj valuti</w:t>
      </w:r>
      <w:r w:rsidRPr="006B5569">
        <w:rPr>
          <w:rFonts w:asciiTheme="minorHAnsi" w:hAnsiTheme="minorHAnsi"/>
          <w:color w:val="auto"/>
          <w:sz w:val="20"/>
          <w:szCs w:val="20"/>
          <w:lang w:val="sr-Cyrl-BA"/>
        </w:rPr>
        <w:t>“, „plasmana za izvršen plaćanja po garancijama“</w:t>
      </w:r>
      <w:r w:rsidRPr="006B5569">
        <w:rPr>
          <w:rFonts w:asciiTheme="minorHAnsi" w:hAnsiTheme="minorHAnsi"/>
          <w:color w:val="auto"/>
          <w:sz w:val="20"/>
          <w:szCs w:val="20"/>
          <w:lang w:val="sr-Latn-CS"/>
        </w:rPr>
        <w:t xml:space="preserve"> i </w:t>
      </w:r>
      <w:r w:rsidRPr="006B5569">
        <w:rPr>
          <w:rFonts w:asciiTheme="minorHAnsi" w:hAnsiTheme="minorHAnsi"/>
          <w:color w:val="auto"/>
          <w:sz w:val="20"/>
          <w:szCs w:val="20"/>
          <w:lang w:val="sr-Cyrl-RS"/>
        </w:rPr>
        <w:t xml:space="preserve">ostalih </w:t>
      </w:r>
      <w:r w:rsidRPr="006B5569">
        <w:rPr>
          <w:rFonts w:asciiTheme="minorHAnsi" w:hAnsiTheme="minorHAnsi"/>
          <w:color w:val="auto"/>
          <w:sz w:val="20"/>
          <w:szCs w:val="20"/>
          <w:lang w:val="sr-Latn-CS"/>
        </w:rPr>
        <w:t>podataka objelodanjenih uz Finansijske izvještaje za 202</w:t>
      </w:r>
      <w:r w:rsidRPr="006B5569">
        <w:rPr>
          <w:rFonts w:asciiTheme="minorHAnsi" w:hAnsiTheme="minorHAnsi"/>
          <w:color w:val="auto"/>
          <w:sz w:val="20"/>
          <w:szCs w:val="20"/>
          <w:lang w:val="sr-Cyrl-RS"/>
        </w:rPr>
        <w:t>4</w:t>
      </w:r>
      <w:r w:rsidRPr="006B5569">
        <w:rPr>
          <w:rFonts w:asciiTheme="minorHAnsi" w:hAnsiTheme="minorHAnsi"/>
          <w:color w:val="auto"/>
          <w:sz w:val="20"/>
          <w:szCs w:val="20"/>
          <w:lang w:val="sr-Latn-CS"/>
        </w:rPr>
        <w:t>.godinu</w:t>
      </w:r>
      <w:r w:rsidRPr="006B5569">
        <w:rPr>
          <w:rFonts w:asciiTheme="minorHAnsi" w:hAnsiTheme="minorHAnsi"/>
          <w:color w:val="auto"/>
          <w:sz w:val="20"/>
          <w:szCs w:val="20"/>
          <w:lang w:val="sr-Cyrl-BA"/>
        </w:rPr>
        <w:t>.</w:t>
      </w:r>
    </w:p>
    <w:p w:rsidR="005934B2" w:rsidRPr="006B5569" w:rsidRDefault="005934B2" w:rsidP="00A401F8">
      <w:pPr>
        <w:rPr>
          <w:rFonts w:asciiTheme="minorHAnsi" w:hAnsiTheme="minorHAnsi"/>
          <w:color w:val="auto"/>
          <w:sz w:val="20"/>
          <w:szCs w:val="20"/>
          <w:lang w:val="sr-Cyrl-CS" w:eastAsia="sr-Cyrl-CS"/>
        </w:rPr>
      </w:pPr>
    </w:p>
    <w:p w:rsidR="005934B2" w:rsidRPr="00D14A0D" w:rsidRDefault="005934B2" w:rsidP="00A401F8">
      <w:pPr>
        <w:pStyle w:val="ListParagraph"/>
        <w:ind w:left="1134"/>
        <w:rPr>
          <w:rFonts w:asciiTheme="minorHAnsi" w:hAnsiTheme="minorHAnsi"/>
          <w:color w:val="auto"/>
          <w:sz w:val="20"/>
          <w:szCs w:val="20"/>
          <w:lang w:val="sr-Cyrl-CS" w:eastAsia="sr-Cyrl-CS"/>
        </w:rPr>
      </w:pPr>
      <w:r w:rsidRPr="004F03D0">
        <w:rPr>
          <w:rFonts w:asciiTheme="minorHAnsi" w:hAnsiTheme="minorHAnsi"/>
          <w:b/>
          <w:color w:val="auto"/>
          <w:sz w:val="20"/>
          <w:szCs w:val="20"/>
          <w:lang w:val="sr-Cyrl-CS" w:eastAsia="sr-Cyrl-CS"/>
        </w:rPr>
        <w:t>3</w:t>
      </w:r>
      <w:r>
        <w:rPr>
          <w:rFonts w:asciiTheme="minorHAnsi" w:hAnsiTheme="minorHAnsi"/>
          <w:color w:val="auto"/>
          <w:sz w:val="20"/>
          <w:szCs w:val="20"/>
          <w:lang w:val="sr-Cyrl-CS" w:eastAsia="sr-Cyrl-CS"/>
        </w:rPr>
        <w:t xml:space="preserve">. </w:t>
      </w:r>
      <w:r w:rsidRPr="004F03D0">
        <w:rPr>
          <w:rFonts w:asciiTheme="minorHAnsi" w:hAnsiTheme="minorHAnsi"/>
          <w:i/>
          <w:color w:val="auto"/>
          <w:sz w:val="20"/>
          <w:szCs w:val="20"/>
          <w:lang w:val="sr-Cyrl-CS" w:eastAsia="sr-Cyrl-CS"/>
        </w:rPr>
        <w:t>ulaganja u udjele otvorenog investicionog fonda</w:t>
      </w:r>
      <w:r>
        <w:rPr>
          <w:rFonts w:asciiTheme="minorHAnsi" w:hAnsiTheme="minorHAnsi"/>
          <w:color w:val="auto"/>
          <w:sz w:val="20"/>
          <w:szCs w:val="20"/>
          <w:lang w:val="sr-Cyrl-CS" w:eastAsia="sr-Cyrl-CS"/>
        </w:rPr>
        <w:t xml:space="preserve"> </w:t>
      </w:r>
      <w:r w:rsidRPr="001A7D95">
        <w:rPr>
          <w:rFonts w:asciiTheme="minorHAnsi" w:hAnsiTheme="minorHAnsi"/>
          <w:color w:val="auto"/>
          <w:sz w:val="20"/>
          <w:szCs w:val="20"/>
          <w:lang w:val="sr-Cyrl-CS" w:eastAsia="sr-Cyrl-CS"/>
        </w:rPr>
        <w:t xml:space="preserve">MS Loans </w:t>
      </w:r>
      <w:r>
        <w:rPr>
          <w:rFonts w:asciiTheme="minorHAnsi" w:hAnsiTheme="minorHAnsi"/>
          <w:color w:val="auto"/>
          <w:sz w:val="20"/>
          <w:szCs w:val="20"/>
          <w:lang w:val="sr-Cyrl-CS" w:eastAsia="sr-Cyrl-CS"/>
        </w:rPr>
        <w:t>a.d. Banja Luka čija vrijednost na dan 31.12.2024. godine iznosi</w:t>
      </w:r>
      <w:r w:rsidRPr="001A7D95">
        <w:rPr>
          <w:rFonts w:asciiTheme="minorHAnsi" w:hAnsiTheme="minorHAnsi"/>
          <w:color w:val="auto"/>
          <w:sz w:val="20"/>
          <w:szCs w:val="20"/>
          <w:lang w:val="sr-Cyrl-CS" w:eastAsia="sr-Cyrl-CS"/>
        </w:rPr>
        <w:t xml:space="preserve"> 126.787,43 KM</w:t>
      </w:r>
      <w:r>
        <w:rPr>
          <w:rFonts w:asciiTheme="minorHAnsi" w:hAnsiTheme="minorHAnsi"/>
          <w:color w:val="auto"/>
          <w:sz w:val="20"/>
          <w:szCs w:val="20"/>
          <w:lang w:val="sr-Cyrl-CS" w:eastAsia="sr-Cyrl-CS"/>
        </w:rPr>
        <w:t>;</w:t>
      </w:r>
    </w:p>
    <w:p w:rsidR="005934B2" w:rsidRDefault="005934B2" w:rsidP="00A401F8">
      <w:pPr>
        <w:pStyle w:val="ListParagraph"/>
        <w:ind w:left="1134"/>
        <w:rPr>
          <w:rFonts w:asciiTheme="minorHAnsi" w:hAnsiTheme="minorHAnsi"/>
          <w:color w:val="auto"/>
          <w:sz w:val="20"/>
          <w:szCs w:val="20"/>
          <w:lang w:val="sr-Cyrl-CS" w:eastAsia="sr-Cyrl-CS"/>
        </w:rPr>
      </w:pPr>
      <w:r w:rsidRPr="004F03D0">
        <w:rPr>
          <w:rFonts w:asciiTheme="minorHAnsi" w:hAnsiTheme="minorHAnsi"/>
          <w:b/>
          <w:color w:val="auto"/>
          <w:sz w:val="20"/>
          <w:szCs w:val="20"/>
          <w:lang w:val="sr-Cyrl-CS" w:eastAsia="sr-Cyrl-CS"/>
        </w:rPr>
        <w:t>4.</w:t>
      </w:r>
      <w:r>
        <w:rPr>
          <w:rFonts w:asciiTheme="minorHAnsi" w:hAnsiTheme="minorHAnsi"/>
          <w:color w:val="auto"/>
          <w:sz w:val="20"/>
          <w:szCs w:val="20"/>
          <w:lang w:val="sr-Cyrl-CS" w:eastAsia="sr-Cyrl-CS"/>
        </w:rPr>
        <w:t xml:space="preserve"> </w:t>
      </w:r>
      <w:r w:rsidRPr="004F03D0">
        <w:rPr>
          <w:rFonts w:asciiTheme="minorHAnsi" w:hAnsiTheme="minorHAnsi"/>
          <w:i/>
          <w:color w:val="auto"/>
          <w:sz w:val="20"/>
          <w:szCs w:val="20"/>
          <w:lang w:val="sr-Cyrl-CS" w:eastAsia="sr-Cyrl-CS"/>
        </w:rPr>
        <w:t>aktivna vremenska razgraničenja</w:t>
      </w:r>
      <w:r w:rsidRPr="00070763">
        <w:rPr>
          <w:rFonts w:asciiTheme="minorHAnsi" w:hAnsiTheme="minorHAnsi"/>
          <w:color w:val="auto"/>
          <w:sz w:val="20"/>
          <w:szCs w:val="20"/>
          <w:lang w:val="sr-Cyrl-CS" w:eastAsia="sr-Cyrl-CS"/>
        </w:rPr>
        <w:t xml:space="preserve"> (AVR)</w:t>
      </w:r>
      <w:r>
        <w:rPr>
          <w:rFonts w:asciiTheme="minorHAnsi" w:hAnsiTheme="minorHAnsi"/>
          <w:color w:val="auto"/>
          <w:sz w:val="20"/>
          <w:szCs w:val="20"/>
          <w:lang w:val="sr-Cyrl-CS" w:eastAsia="sr-Cyrl-CS"/>
        </w:rPr>
        <w:t xml:space="preserve"> u iznosu od</w:t>
      </w:r>
      <w:r w:rsidRPr="00070763">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1.836,29</w:t>
      </w:r>
      <w:r w:rsidRPr="00070763">
        <w:rPr>
          <w:rFonts w:asciiTheme="minorHAnsi" w:hAnsiTheme="minorHAnsi"/>
          <w:color w:val="auto"/>
          <w:sz w:val="20"/>
          <w:szCs w:val="20"/>
          <w:lang w:val="sr-Cyrl-CS" w:eastAsia="sr-Cyrl-CS"/>
        </w:rPr>
        <w:t xml:space="preserve"> KM.</w:t>
      </w:r>
    </w:p>
    <w:p w:rsidR="005934B2" w:rsidRDefault="005934B2" w:rsidP="00A401F8">
      <w:pPr>
        <w:rPr>
          <w:rFonts w:asciiTheme="minorHAnsi" w:hAnsiTheme="minorHAnsi"/>
          <w:color w:val="auto"/>
          <w:sz w:val="20"/>
          <w:szCs w:val="20"/>
          <w:lang w:val="sr-Cyrl-CS" w:eastAsia="sr-Cyrl-CS"/>
        </w:rPr>
      </w:pPr>
    </w:p>
    <w:p w:rsidR="005934B2" w:rsidRDefault="005934B2" w:rsidP="00A401F8">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Posmatrano u odnosu na 2023. godinu, tekuća sredstva su manja za 14,22%, a na smanjenje je najvećim dijelom uticala manja vrijednost ulaganja u hartije od vrijednosti. Smanjenje je zabilježeno i na poziciji gotovine, dok je u okviru potraživanja i ostalih plasmana zabilježen manji rast. </w:t>
      </w:r>
    </w:p>
    <w:p w:rsidR="005934B2" w:rsidRPr="006B3D49" w:rsidRDefault="005934B2" w:rsidP="00A401F8">
      <w:pPr>
        <w:rPr>
          <w:rFonts w:asciiTheme="minorHAnsi" w:hAnsiTheme="minorHAnsi"/>
          <w:color w:val="auto"/>
          <w:sz w:val="20"/>
          <w:szCs w:val="20"/>
          <w:lang w:val="sr-Cyrl-CS" w:eastAsia="sr-Cyrl-CS"/>
        </w:rPr>
      </w:pPr>
    </w:p>
    <w:p w:rsidR="005934B2" w:rsidRDefault="005934B2" w:rsidP="00A401F8">
      <w:pPr>
        <w:tabs>
          <w:tab w:val="left" w:pos="1134"/>
        </w:tabs>
        <w:ind w:left="709" w:hanging="709"/>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Stalna sredstva u iznosu </w:t>
      </w:r>
      <w:r w:rsidRPr="00A571BC">
        <w:rPr>
          <w:rFonts w:asciiTheme="minorHAnsi" w:hAnsiTheme="minorHAnsi"/>
          <w:color w:val="auto"/>
          <w:sz w:val="20"/>
          <w:szCs w:val="20"/>
          <w:lang w:val="sr-Cyrl-CS" w:eastAsia="sr-Cyrl-CS"/>
        </w:rPr>
        <w:t xml:space="preserve">od </w:t>
      </w:r>
      <w:r w:rsidRPr="00A571BC">
        <w:rPr>
          <w:rFonts w:ascii="Calibri" w:hAnsi="Calibri"/>
          <w:bCs/>
          <w:sz w:val="20"/>
          <w:szCs w:val="20"/>
        </w:rPr>
        <w:t>177.494,34</w:t>
      </w:r>
      <w:r w:rsidRPr="00A571BC">
        <w:rPr>
          <w:rFonts w:ascii="Calibri" w:hAnsi="Calibri"/>
          <w:bCs/>
          <w:sz w:val="20"/>
          <w:szCs w:val="20"/>
          <w:lang w:val="sr-Cyrl-RS"/>
        </w:rPr>
        <w:t xml:space="preserve"> </w:t>
      </w:r>
      <w:r w:rsidRPr="00A571BC">
        <w:rPr>
          <w:rFonts w:asciiTheme="minorHAnsi" w:hAnsiTheme="minorHAnsi"/>
          <w:color w:val="auto"/>
          <w:sz w:val="20"/>
          <w:szCs w:val="20"/>
          <w:lang w:val="sr-Cyrl-CS" w:eastAsia="sr-Cyrl-CS"/>
        </w:rPr>
        <w:t>KM</w:t>
      </w:r>
      <w:r>
        <w:rPr>
          <w:rFonts w:asciiTheme="minorHAnsi" w:hAnsiTheme="minorHAnsi"/>
          <w:color w:val="auto"/>
          <w:sz w:val="20"/>
          <w:szCs w:val="20"/>
          <w:lang w:val="sr-Cyrl-CS" w:eastAsia="sr-Cyrl-CS"/>
        </w:rPr>
        <w:t xml:space="preserve"> obuhvataju sljedeće stavke:</w:t>
      </w:r>
    </w:p>
    <w:p w:rsidR="005934B2" w:rsidRPr="00CA28AF" w:rsidRDefault="005934B2" w:rsidP="00A401F8">
      <w:pPr>
        <w:tabs>
          <w:tab w:val="left" w:pos="1134"/>
        </w:tabs>
        <w:ind w:left="709"/>
        <w:rPr>
          <w:rFonts w:asciiTheme="minorHAnsi" w:hAnsiTheme="minorHAnsi"/>
          <w:color w:val="auto"/>
          <w:sz w:val="20"/>
          <w:szCs w:val="20"/>
          <w:lang w:val="sr-Cyrl-CS" w:eastAsia="sr-Cyrl-CS"/>
        </w:rPr>
      </w:pPr>
    </w:p>
    <w:p w:rsidR="005934B2" w:rsidRPr="00CA28AF" w:rsidRDefault="005934B2" w:rsidP="00A401F8">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osnovna sredstva</w:t>
      </w:r>
      <w:r w:rsidRPr="00CA28AF">
        <w:rPr>
          <w:rFonts w:asciiTheme="minorHAnsi" w:hAnsiTheme="minorHAnsi"/>
          <w:color w:val="auto"/>
          <w:sz w:val="20"/>
          <w:szCs w:val="20"/>
          <w:lang w:val="sr-Cyrl-CS" w:eastAsia="sr-Cyrl-CS"/>
        </w:rPr>
        <w:t xml:space="preserve"> se odnose na ulaganja u opremu za rad Fonda</w:t>
      </w:r>
      <w:r>
        <w:rPr>
          <w:rFonts w:asciiTheme="minorHAnsi" w:hAnsiTheme="minorHAnsi"/>
          <w:color w:val="auto"/>
          <w:sz w:val="20"/>
          <w:szCs w:val="20"/>
          <w:lang w:val="sr-Cyrl-CS" w:eastAsia="sr-Cyrl-CS"/>
        </w:rPr>
        <w:t xml:space="preserve"> u neto iznosu od </w:t>
      </w:r>
      <w:r>
        <w:rPr>
          <w:rFonts w:ascii="Calibri" w:hAnsi="Calibri"/>
          <w:sz w:val="20"/>
          <w:szCs w:val="20"/>
          <w:lang w:val="sr-Cyrl-RS"/>
        </w:rPr>
        <w:t xml:space="preserve">89.210,59 </w:t>
      </w:r>
      <w:r>
        <w:rPr>
          <w:rFonts w:asciiTheme="minorHAnsi" w:hAnsiTheme="minorHAnsi"/>
          <w:color w:val="auto"/>
          <w:sz w:val="20"/>
          <w:szCs w:val="20"/>
          <w:lang w:val="sr-Cyrl-CS" w:eastAsia="sr-Cyrl-CS"/>
        </w:rPr>
        <w:t>KM i ulaganje u tuđa stalna sredstva (poslovne prostorije Garantnog fonda koje su u vlasništvu Investiciono-razvojne banke) u neto iznosu od 27.027,96 KM. N</w:t>
      </w:r>
      <w:r w:rsidRPr="00CA28AF">
        <w:rPr>
          <w:rFonts w:asciiTheme="minorHAnsi" w:hAnsiTheme="minorHAnsi"/>
          <w:color w:val="auto"/>
          <w:sz w:val="20"/>
          <w:szCs w:val="20"/>
          <w:lang w:val="sr-Cyrl-CS" w:eastAsia="sr-Cyrl-CS"/>
        </w:rPr>
        <w:t xml:space="preserve">eto vrijednost </w:t>
      </w:r>
      <w:r>
        <w:rPr>
          <w:rFonts w:asciiTheme="minorHAnsi" w:hAnsiTheme="minorHAnsi"/>
          <w:color w:val="auto"/>
          <w:sz w:val="20"/>
          <w:szCs w:val="20"/>
          <w:lang w:val="sr-Cyrl-CS" w:eastAsia="sr-Cyrl-CS"/>
        </w:rPr>
        <w:t xml:space="preserve"> osnovnih sredstava </w:t>
      </w:r>
      <w:r w:rsidRPr="00CA28AF">
        <w:rPr>
          <w:rFonts w:asciiTheme="minorHAnsi" w:hAnsiTheme="minorHAnsi"/>
          <w:color w:val="auto"/>
          <w:sz w:val="20"/>
          <w:szCs w:val="20"/>
          <w:lang w:val="sr-Cyrl-CS" w:eastAsia="sr-Cyrl-CS"/>
        </w:rPr>
        <w:t>na kraju 202</w:t>
      </w:r>
      <w:r>
        <w:rPr>
          <w:rFonts w:asciiTheme="minorHAnsi" w:hAnsiTheme="minorHAnsi"/>
          <w:color w:val="auto"/>
          <w:sz w:val="20"/>
          <w:szCs w:val="20"/>
          <w:lang w:val="sr-Cyrl-CS" w:eastAsia="sr-Cyrl-CS"/>
        </w:rPr>
        <w:t>4</w:t>
      </w:r>
      <w:r w:rsidRPr="00CA28AF">
        <w:rPr>
          <w:rFonts w:asciiTheme="minorHAnsi" w:hAnsiTheme="minorHAnsi"/>
          <w:color w:val="auto"/>
          <w:sz w:val="20"/>
          <w:szCs w:val="20"/>
          <w:lang w:val="sr-Cyrl-CS" w:eastAsia="sr-Cyrl-CS"/>
        </w:rPr>
        <w:t xml:space="preserve">. godine iznosi  </w:t>
      </w:r>
      <w:r>
        <w:rPr>
          <w:rFonts w:asciiTheme="minorHAnsi" w:hAnsiTheme="minorHAnsi"/>
          <w:color w:val="auto"/>
          <w:sz w:val="20"/>
          <w:szCs w:val="20"/>
          <w:lang w:val="sr-Cyrl-CS" w:eastAsia="sr-Cyrl-CS"/>
        </w:rPr>
        <w:t>116.238,55</w:t>
      </w:r>
      <w:r w:rsidRPr="00CA28AF">
        <w:rPr>
          <w:rFonts w:asciiTheme="minorHAnsi" w:hAnsiTheme="minorHAnsi"/>
          <w:color w:val="auto"/>
          <w:sz w:val="20"/>
          <w:szCs w:val="20"/>
          <w:lang w:val="sr-Cyrl-CS" w:eastAsia="sr-Cyrl-CS"/>
        </w:rPr>
        <w:t xml:space="preserve"> KM</w:t>
      </w:r>
      <w:r>
        <w:rPr>
          <w:rFonts w:asciiTheme="minorHAnsi" w:hAnsiTheme="minorHAnsi"/>
          <w:color w:val="auto"/>
          <w:sz w:val="20"/>
          <w:szCs w:val="20"/>
          <w:lang w:val="sr-Cyrl-CS" w:eastAsia="sr-Cyrl-CS"/>
        </w:rPr>
        <w:t>;</w:t>
      </w:r>
    </w:p>
    <w:p w:rsidR="005934B2" w:rsidRPr="00CA28AF" w:rsidRDefault="005934B2" w:rsidP="00A401F8">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ostala nematerijalna ulaganja</w:t>
      </w:r>
      <w:r w:rsidRPr="00CA28AF">
        <w:rPr>
          <w:rFonts w:asciiTheme="minorHAnsi" w:hAnsiTheme="minorHAnsi"/>
          <w:color w:val="auto"/>
          <w:sz w:val="20"/>
          <w:szCs w:val="20"/>
          <w:lang w:val="sr-Cyrl-CS" w:eastAsia="sr-Cyrl-CS"/>
        </w:rPr>
        <w:t xml:space="preserve"> u neto iznosu od </w:t>
      </w:r>
      <w:r>
        <w:rPr>
          <w:rFonts w:asciiTheme="minorHAnsi" w:hAnsiTheme="minorHAnsi"/>
          <w:color w:val="auto"/>
          <w:sz w:val="20"/>
          <w:szCs w:val="20"/>
          <w:lang w:val="sr-Cyrl-CS" w:eastAsia="sr-Cyrl-CS"/>
        </w:rPr>
        <w:t>42.037,46</w:t>
      </w:r>
      <w:r w:rsidRPr="00CA28AF">
        <w:rPr>
          <w:rFonts w:asciiTheme="minorHAnsi" w:hAnsiTheme="minorHAnsi"/>
          <w:color w:val="auto"/>
          <w:sz w:val="20"/>
          <w:szCs w:val="20"/>
          <w:lang w:val="sr-Cyrl-CS" w:eastAsia="sr-Cyrl-CS"/>
        </w:rPr>
        <w:t xml:space="preserve"> KM odnose se na ulaganja u licence za korišćenje standardnih softvera, aplikativne licence za softver garancija, kreditni portfelj, programa </w:t>
      </w:r>
      <w:r w:rsidRPr="00CA28AF">
        <w:rPr>
          <w:rFonts w:asciiTheme="minorHAnsi" w:hAnsiTheme="minorHAnsi"/>
          <w:color w:val="auto"/>
          <w:sz w:val="20"/>
          <w:szCs w:val="20"/>
          <w:lang w:eastAsia="sr-Cyrl-CS"/>
        </w:rPr>
        <w:t xml:space="preserve">COVID </w:t>
      </w:r>
      <w:r>
        <w:rPr>
          <w:rFonts w:asciiTheme="minorHAnsi" w:hAnsiTheme="minorHAnsi"/>
          <w:color w:val="auto"/>
          <w:sz w:val="20"/>
          <w:szCs w:val="20"/>
          <w:lang w:val="sr-Cyrl-CS" w:eastAsia="sr-Cyrl-CS"/>
        </w:rPr>
        <w:t xml:space="preserve">19 i </w:t>
      </w:r>
      <w:r w:rsidRPr="00CA28AF">
        <w:rPr>
          <w:rFonts w:asciiTheme="minorHAnsi" w:hAnsiTheme="minorHAnsi"/>
          <w:color w:val="auto"/>
          <w:sz w:val="20"/>
          <w:szCs w:val="20"/>
          <w:lang w:val="sr-Cyrl-CS" w:eastAsia="sr-Cyrl-CS"/>
        </w:rPr>
        <w:t>knjige standarda Fonda</w:t>
      </w:r>
      <w:r>
        <w:rPr>
          <w:rFonts w:asciiTheme="minorHAnsi" w:hAnsiTheme="minorHAnsi"/>
          <w:color w:val="auto"/>
          <w:sz w:val="20"/>
          <w:szCs w:val="20"/>
          <w:lang w:val="sr-Cyrl-CS" w:eastAsia="sr-Cyrl-CS"/>
        </w:rPr>
        <w:t>;</w:t>
      </w:r>
    </w:p>
    <w:p w:rsidR="005934B2" w:rsidRDefault="005934B2" w:rsidP="00A401F8">
      <w:pPr>
        <w:pStyle w:val="ListParagraph"/>
        <w:numPr>
          <w:ilvl w:val="0"/>
          <w:numId w:val="22"/>
        </w:numPr>
        <w:ind w:left="1134" w:hanging="425"/>
        <w:rPr>
          <w:rFonts w:asciiTheme="minorHAnsi" w:hAnsiTheme="minorHAnsi"/>
          <w:color w:val="auto"/>
          <w:sz w:val="20"/>
          <w:szCs w:val="20"/>
          <w:lang w:val="sr-Cyrl-CS" w:eastAsia="sr-Cyrl-CS"/>
        </w:rPr>
      </w:pPr>
      <w:r w:rsidRPr="008F7B16">
        <w:rPr>
          <w:rFonts w:asciiTheme="minorHAnsi" w:hAnsiTheme="minorHAnsi"/>
          <w:b/>
          <w:color w:val="auto"/>
          <w:sz w:val="20"/>
          <w:szCs w:val="20"/>
          <w:lang w:val="sr-Cyrl-CS" w:eastAsia="sr-Cyrl-CS"/>
        </w:rPr>
        <w:t>stalna sredstva namijenjena prodaji</w:t>
      </w:r>
      <w:r w:rsidRPr="007C74A2">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iznose</w:t>
      </w:r>
      <w:r w:rsidRPr="007C74A2">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19.218,33</w:t>
      </w:r>
      <w:r w:rsidRPr="007C74A2">
        <w:rPr>
          <w:rFonts w:asciiTheme="minorHAnsi" w:hAnsiTheme="minorHAnsi"/>
          <w:color w:val="auto"/>
          <w:sz w:val="20"/>
          <w:szCs w:val="20"/>
          <w:lang w:val="sr-Cyrl-CS" w:eastAsia="sr-Cyrl-CS"/>
        </w:rPr>
        <w:t xml:space="preserve"> KM</w:t>
      </w:r>
      <w:r>
        <w:rPr>
          <w:rFonts w:asciiTheme="minorHAnsi" w:hAnsiTheme="minorHAnsi"/>
          <w:color w:val="auto"/>
          <w:sz w:val="20"/>
          <w:szCs w:val="20"/>
          <w:lang w:val="sr-Cyrl-CS" w:eastAsia="sr-Cyrl-CS"/>
        </w:rPr>
        <w:t>. Radi se o imovini koju je klijent PR Roj Kostajnica (šuma, zemljište</w:t>
      </w:r>
      <w:r w:rsidRPr="007C74A2">
        <w:rPr>
          <w:rFonts w:asciiTheme="minorHAnsi" w:hAnsiTheme="minorHAnsi"/>
          <w:color w:val="auto"/>
          <w:sz w:val="20"/>
          <w:szCs w:val="20"/>
          <w:lang w:val="sr-Cyrl-CS" w:eastAsia="sr-Cyrl-CS"/>
        </w:rPr>
        <w:t>, pomoćni objekt</w:t>
      </w:r>
      <w:r>
        <w:rPr>
          <w:rFonts w:asciiTheme="minorHAnsi" w:hAnsiTheme="minorHAnsi"/>
          <w:color w:val="auto"/>
          <w:sz w:val="20"/>
          <w:szCs w:val="20"/>
          <w:lang w:val="sr-Cyrl-CS" w:eastAsia="sr-Cyrl-CS"/>
        </w:rPr>
        <w:t>i) ponudio kao sredstvo obezbjeđenja po plasmanu obezbjeđenom garancijom Garantnog fonda. Nakon proglašenja kredita dospjelim i plaćanja garancije, pokrenut je izvršni postupak, a okončanjem istog je donesena sudska presuda kojom je navedena imovina postala vlasništvo Garantnog fonda.</w:t>
      </w:r>
    </w:p>
    <w:p w:rsidR="005934B2" w:rsidRDefault="005934B2" w:rsidP="00A401F8">
      <w:pPr>
        <w:rPr>
          <w:rFonts w:asciiTheme="minorHAnsi" w:hAnsiTheme="minorHAnsi"/>
          <w:color w:val="auto"/>
          <w:sz w:val="20"/>
          <w:szCs w:val="20"/>
          <w:lang w:val="sr-Cyrl-CS" w:eastAsia="sr-Cyrl-CS"/>
        </w:rPr>
      </w:pPr>
    </w:p>
    <w:p w:rsidR="005934B2" w:rsidRDefault="005934B2" w:rsidP="00A401F8">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 xml:space="preserve">Stanje vanbilansne evidencije u kojoj se vode izdane </w:t>
      </w:r>
      <w:r w:rsidRPr="0077190E">
        <w:rPr>
          <w:rFonts w:asciiTheme="minorHAnsi" w:hAnsiTheme="minorHAnsi"/>
          <w:color w:val="auto"/>
          <w:sz w:val="20"/>
          <w:szCs w:val="20"/>
          <w:lang w:val="sr-Cyrl-CS" w:eastAsia="sr-Cyrl-CS"/>
        </w:rPr>
        <w:t xml:space="preserve">garancije je </w:t>
      </w:r>
      <w:r w:rsidRPr="0077190E">
        <w:rPr>
          <w:rFonts w:ascii="Calibri" w:hAnsi="Calibri"/>
          <w:bCs/>
          <w:sz w:val="20"/>
          <w:szCs w:val="20"/>
        </w:rPr>
        <w:t>54.923.015,00</w:t>
      </w:r>
      <w:r w:rsidRPr="0077190E">
        <w:rPr>
          <w:rFonts w:ascii="Calibri" w:hAnsi="Calibri"/>
          <w:bCs/>
          <w:sz w:val="20"/>
          <w:szCs w:val="20"/>
          <w:lang w:val="sr-Cyrl-RS"/>
        </w:rPr>
        <w:t xml:space="preserve"> </w:t>
      </w:r>
      <w:r w:rsidRPr="0077190E">
        <w:rPr>
          <w:rFonts w:asciiTheme="minorHAnsi" w:hAnsiTheme="minorHAnsi"/>
          <w:color w:val="auto"/>
          <w:sz w:val="20"/>
          <w:szCs w:val="20"/>
          <w:lang w:val="sr-Cyrl-CS" w:eastAsia="sr-Cyrl-CS"/>
        </w:rPr>
        <w:t xml:space="preserve">KM, te ukupna aktiva Garantnog fonda na dan 31.12.2024. godine iznosi </w:t>
      </w:r>
      <w:r w:rsidRPr="0077190E">
        <w:rPr>
          <w:rFonts w:ascii="Calibri" w:hAnsi="Calibri"/>
          <w:bCs/>
          <w:sz w:val="20"/>
          <w:szCs w:val="20"/>
        </w:rPr>
        <w:t>72.729.874,26</w:t>
      </w:r>
      <w:r w:rsidRPr="0077190E">
        <w:rPr>
          <w:rFonts w:ascii="Calibri" w:hAnsi="Calibri"/>
          <w:bCs/>
          <w:sz w:val="20"/>
          <w:szCs w:val="20"/>
          <w:lang w:val="sr-Cyrl-RS"/>
        </w:rPr>
        <w:t xml:space="preserve"> </w:t>
      </w:r>
      <w:r w:rsidRPr="0077190E">
        <w:rPr>
          <w:rFonts w:asciiTheme="minorHAnsi" w:hAnsiTheme="minorHAnsi"/>
          <w:color w:val="auto"/>
          <w:sz w:val="20"/>
          <w:szCs w:val="20"/>
          <w:lang w:val="sr-Cyrl-CS" w:eastAsia="sr-Cyrl-CS"/>
        </w:rPr>
        <w:t>KM.</w:t>
      </w:r>
    </w:p>
    <w:p w:rsidR="005934B2" w:rsidRPr="00EF4BB3" w:rsidRDefault="005934B2" w:rsidP="00A401F8">
      <w:pPr>
        <w:rPr>
          <w:rFonts w:asciiTheme="minorHAnsi" w:hAnsiTheme="minorHAnsi"/>
          <w:color w:val="auto"/>
          <w:sz w:val="20"/>
          <w:szCs w:val="20"/>
          <w:lang w:val="sr-Cyrl-CS" w:eastAsia="sr-Cyrl-CS"/>
        </w:rPr>
      </w:pPr>
    </w:p>
    <w:p w:rsidR="005934B2" w:rsidRPr="00EF4BB3" w:rsidRDefault="005934B2" w:rsidP="00A401F8">
      <w:pPr>
        <w:rPr>
          <w:rFonts w:asciiTheme="minorHAnsi" w:hAnsiTheme="minorHAnsi"/>
          <w:color w:val="FF0000"/>
          <w:sz w:val="20"/>
          <w:szCs w:val="20"/>
          <w:lang w:val="sr-Cyrl-CS" w:eastAsia="sr-Cyrl-CS"/>
        </w:rPr>
      </w:pPr>
      <w:r w:rsidRPr="00EF4BB3">
        <w:rPr>
          <w:rFonts w:asciiTheme="minorHAnsi" w:hAnsiTheme="minorHAnsi"/>
          <w:color w:val="auto"/>
          <w:sz w:val="20"/>
          <w:szCs w:val="20"/>
          <w:lang w:val="sr-Cyrl-CS" w:eastAsia="sr-Cyrl-CS"/>
        </w:rPr>
        <w:t xml:space="preserve">Stanje poslovne pasive iznosi </w:t>
      </w:r>
      <w:r w:rsidRPr="00EF4BB3">
        <w:rPr>
          <w:rFonts w:ascii="Calibri" w:hAnsi="Calibri"/>
          <w:bCs/>
          <w:color w:val="auto"/>
          <w:sz w:val="20"/>
          <w:szCs w:val="20"/>
        </w:rPr>
        <w:t>17.806.859,26</w:t>
      </w:r>
      <w:r w:rsidRPr="00EF4BB3">
        <w:rPr>
          <w:rFonts w:ascii="Calibri" w:hAnsi="Calibri"/>
          <w:bCs/>
          <w:color w:val="auto"/>
          <w:sz w:val="20"/>
          <w:szCs w:val="20"/>
          <w:lang w:val="sr-Cyrl-RS"/>
        </w:rPr>
        <w:t xml:space="preserve"> </w:t>
      </w:r>
      <w:r w:rsidRPr="00EF4BB3">
        <w:rPr>
          <w:rFonts w:asciiTheme="minorHAnsi" w:hAnsiTheme="minorHAnsi"/>
          <w:color w:val="auto"/>
          <w:sz w:val="20"/>
          <w:szCs w:val="20"/>
          <w:lang w:val="sr-Cyrl-CS" w:eastAsia="sr-Cyrl-CS"/>
        </w:rPr>
        <w:t>KM  i čine je :</w:t>
      </w:r>
    </w:p>
    <w:p w:rsidR="005934B2" w:rsidRPr="00EF4BB3" w:rsidRDefault="005934B2" w:rsidP="00A401F8">
      <w:pPr>
        <w:ind w:left="708"/>
        <w:jc w:val="left"/>
        <w:rPr>
          <w:rFonts w:asciiTheme="minorHAnsi" w:hAnsiTheme="minorHAnsi"/>
          <w:color w:val="FF0000"/>
          <w:sz w:val="20"/>
          <w:szCs w:val="20"/>
          <w:lang w:val="sr-Cyrl-CS" w:eastAsia="sr-Cyrl-CS"/>
        </w:rPr>
      </w:pPr>
    </w:p>
    <w:p w:rsidR="005934B2" w:rsidRPr="00B77B97" w:rsidRDefault="005934B2" w:rsidP="00A401F8">
      <w:pPr>
        <w:pStyle w:val="ListParagraph"/>
        <w:numPr>
          <w:ilvl w:val="0"/>
          <w:numId w:val="22"/>
        </w:numPr>
        <w:tabs>
          <w:tab w:val="left" w:pos="709"/>
        </w:tabs>
        <w:ind w:left="1134" w:hanging="425"/>
        <w:jc w:val="left"/>
        <w:rPr>
          <w:rFonts w:asciiTheme="minorHAnsi" w:hAnsiTheme="minorHAnsi"/>
          <w:color w:val="auto"/>
          <w:sz w:val="20"/>
          <w:szCs w:val="20"/>
          <w:lang w:val="sr-Cyrl-CS" w:eastAsia="sr-Cyrl-CS"/>
        </w:rPr>
      </w:pPr>
      <w:r w:rsidRPr="00EF4BB3">
        <w:rPr>
          <w:rFonts w:asciiTheme="minorHAnsi" w:hAnsiTheme="minorHAnsi"/>
          <w:b/>
          <w:color w:val="auto"/>
          <w:sz w:val="20"/>
          <w:szCs w:val="20"/>
          <w:lang w:val="sr-Cyrl-CS" w:eastAsia="sr-Cyrl-CS"/>
        </w:rPr>
        <w:t>obaveze</w:t>
      </w:r>
      <w:r w:rsidRPr="00EF4BB3">
        <w:rPr>
          <w:rFonts w:asciiTheme="minorHAnsi" w:hAnsiTheme="minorHAnsi"/>
          <w:color w:val="auto"/>
          <w:sz w:val="20"/>
          <w:szCs w:val="20"/>
          <w:lang w:val="sr-Cyrl-CS" w:eastAsia="sr-Cyrl-CS"/>
        </w:rPr>
        <w:t xml:space="preserve"> u </w:t>
      </w:r>
      <w:r w:rsidRPr="00B77B97">
        <w:rPr>
          <w:rFonts w:asciiTheme="minorHAnsi" w:hAnsiTheme="minorHAnsi"/>
          <w:color w:val="auto"/>
          <w:sz w:val="20"/>
          <w:szCs w:val="20"/>
          <w:lang w:val="sr-Cyrl-CS" w:eastAsia="sr-Cyrl-CS"/>
        </w:rPr>
        <w:t xml:space="preserve">iznosu od </w:t>
      </w:r>
      <w:r w:rsidRPr="00B77B97">
        <w:rPr>
          <w:rFonts w:asciiTheme="minorHAnsi" w:hAnsiTheme="minorHAnsi"/>
          <w:bCs/>
          <w:color w:val="auto"/>
          <w:sz w:val="20"/>
          <w:szCs w:val="20"/>
        </w:rPr>
        <w:t>957.268,83</w:t>
      </w:r>
      <w:r w:rsidRPr="00B77B97">
        <w:rPr>
          <w:rFonts w:asciiTheme="minorHAnsi" w:hAnsiTheme="minorHAnsi"/>
          <w:bCs/>
          <w:color w:val="auto"/>
          <w:sz w:val="20"/>
          <w:szCs w:val="20"/>
          <w:lang w:val="sr-Cyrl-RS"/>
        </w:rPr>
        <w:t xml:space="preserve"> KM </w:t>
      </w:r>
      <w:r w:rsidRPr="00B77B97">
        <w:rPr>
          <w:rFonts w:asciiTheme="minorHAnsi" w:hAnsiTheme="minorHAnsi"/>
          <w:color w:val="auto"/>
          <w:sz w:val="20"/>
          <w:szCs w:val="20"/>
          <w:lang w:val="sr-Cyrl-CS" w:eastAsia="sr-Cyrl-CS"/>
        </w:rPr>
        <w:t>koje se odnose na:</w:t>
      </w:r>
    </w:p>
    <w:p w:rsidR="005934B2" w:rsidRPr="00B77B97" w:rsidRDefault="005934B2" w:rsidP="00A401F8">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 xml:space="preserve">obaveze za zarade, naknade zarada, poreze i doprinose u iznosu </w:t>
      </w:r>
      <w:r w:rsidRPr="00B77B97">
        <w:rPr>
          <w:rFonts w:asciiTheme="minorHAnsi" w:hAnsiTheme="minorHAnsi"/>
          <w:color w:val="000000" w:themeColor="text1"/>
          <w:sz w:val="20"/>
          <w:szCs w:val="20"/>
          <w:lang w:val="sr-Cyrl-CS" w:eastAsia="sr-Cyrl-CS"/>
        </w:rPr>
        <w:t>od 103.257,35 KM</w:t>
      </w:r>
      <w:r>
        <w:rPr>
          <w:rFonts w:asciiTheme="minorHAnsi" w:hAnsiTheme="minorHAnsi"/>
          <w:color w:val="auto"/>
          <w:sz w:val="20"/>
          <w:szCs w:val="20"/>
          <w:lang w:val="sr-Cyrl-CS" w:eastAsia="sr-Cyrl-CS"/>
        </w:rPr>
        <w:t xml:space="preserve"> </w:t>
      </w:r>
      <w:r w:rsidRPr="00B77B97">
        <w:rPr>
          <w:rFonts w:asciiTheme="minorHAnsi" w:hAnsiTheme="minorHAnsi"/>
          <w:color w:val="auto"/>
          <w:sz w:val="20"/>
          <w:szCs w:val="20"/>
          <w:lang w:val="sr-Cyrl-CS" w:eastAsia="sr-Cyrl-CS"/>
        </w:rPr>
        <w:t>odnose se na obračunate, a neisplaćene plate za decembar 2024. godine. Ova obaveza nastaje jer se plate za decembar isplaćuju po isteku obračunskog mjeseca, odnosno u januaru 2025. godine</w:t>
      </w:r>
      <w:r>
        <w:rPr>
          <w:rFonts w:asciiTheme="minorHAnsi" w:hAnsiTheme="minorHAnsi"/>
          <w:color w:val="auto"/>
          <w:sz w:val="20"/>
          <w:szCs w:val="20"/>
          <w:lang w:val="sr-Cyrl-CS" w:eastAsia="sr-Cyrl-CS"/>
        </w:rPr>
        <w:t>;</w:t>
      </w:r>
    </w:p>
    <w:p w:rsidR="005934B2" w:rsidRPr="00B77B97" w:rsidRDefault="005934B2" w:rsidP="00A401F8">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 xml:space="preserve">ostale obaveze u iznosu od </w:t>
      </w:r>
      <w:r w:rsidRPr="00B77B97">
        <w:rPr>
          <w:rFonts w:asciiTheme="minorHAnsi" w:hAnsiTheme="minorHAnsi"/>
          <w:color w:val="auto"/>
          <w:sz w:val="20"/>
          <w:szCs w:val="20"/>
        </w:rPr>
        <w:t>44.973,32</w:t>
      </w:r>
      <w:r w:rsidRPr="00B77B97">
        <w:rPr>
          <w:rFonts w:asciiTheme="minorHAnsi" w:hAnsiTheme="minorHAnsi"/>
          <w:color w:val="auto"/>
          <w:sz w:val="20"/>
          <w:szCs w:val="20"/>
          <w:lang w:val="sr-Cyrl-RS"/>
        </w:rPr>
        <w:t xml:space="preserve"> </w:t>
      </w:r>
      <w:r w:rsidRPr="00B77B97">
        <w:rPr>
          <w:rFonts w:asciiTheme="minorHAnsi" w:hAnsiTheme="minorHAnsi"/>
          <w:color w:val="auto"/>
          <w:sz w:val="20"/>
          <w:szCs w:val="20"/>
          <w:lang w:val="sr-Cyrl-CS" w:eastAsia="sr-Cyrl-CS"/>
        </w:rPr>
        <w:t xml:space="preserve">KM </w:t>
      </w:r>
      <w:r>
        <w:rPr>
          <w:rFonts w:asciiTheme="minorHAnsi" w:hAnsiTheme="minorHAnsi"/>
          <w:color w:val="auto"/>
          <w:sz w:val="20"/>
          <w:szCs w:val="20"/>
          <w:lang w:val="sr-Cyrl-CS" w:eastAsia="sr-Cyrl-CS"/>
        </w:rPr>
        <w:t>obuhvataju obaveze prema dobav</w:t>
      </w:r>
      <w:r w:rsidRPr="00B77B97">
        <w:rPr>
          <w:rFonts w:asciiTheme="minorHAnsi" w:hAnsiTheme="minorHAnsi"/>
          <w:color w:val="auto"/>
          <w:sz w:val="20"/>
          <w:szCs w:val="20"/>
          <w:lang w:val="sr-Cyrl-CS" w:eastAsia="sr-Cyrl-CS"/>
        </w:rPr>
        <w:t>ljačima, obaveze po osnovu pri</w:t>
      </w:r>
      <w:r>
        <w:rPr>
          <w:rFonts w:asciiTheme="minorHAnsi" w:hAnsiTheme="minorHAnsi"/>
          <w:color w:val="auto"/>
          <w:sz w:val="20"/>
          <w:szCs w:val="20"/>
          <w:lang w:val="sr-Cyrl-CS" w:eastAsia="sr-Cyrl-CS"/>
        </w:rPr>
        <w:t xml:space="preserve">mljenih avansa, </w:t>
      </w:r>
      <w:r w:rsidRPr="00B77B97">
        <w:rPr>
          <w:rFonts w:asciiTheme="minorHAnsi" w:hAnsiTheme="minorHAnsi"/>
          <w:color w:val="auto"/>
          <w:sz w:val="20"/>
          <w:szCs w:val="20"/>
          <w:lang w:val="sr-Cyrl-CS" w:eastAsia="sr-Cyrl-CS"/>
        </w:rPr>
        <w:t>te obaveze za otpremninu i</w:t>
      </w:r>
      <w:r>
        <w:rPr>
          <w:rFonts w:asciiTheme="minorHAnsi" w:hAnsiTheme="minorHAnsi"/>
          <w:color w:val="auto"/>
          <w:sz w:val="20"/>
          <w:szCs w:val="20"/>
          <w:lang w:val="sr-Cyrl-CS" w:eastAsia="sr-Cyrl-CS"/>
        </w:rPr>
        <w:t xml:space="preserve"> ostale obaveze prema zaposlenima;</w:t>
      </w:r>
    </w:p>
    <w:p w:rsidR="005934B2" w:rsidRPr="00B77B97" w:rsidRDefault="005934B2" w:rsidP="00A401F8">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rezervisanja za pokriće gubitaka po vanbilansnoj aktivi, odnosno izdanim garancijama u iznosu od 679.650,24 KM</w:t>
      </w:r>
      <w:r>
        <w:rPr>
          <w:rFonts w:asciiTheme="minorHAnsi" w:hAnsiTheme="minorHAnsi"/>
          <w:color w:val="auto"/>
          <w:sz w:val="20"/>
          <w:szCs w:val="20"/>
          <w:lang w:val="sr-Cyrl-CS" w:eastAsia="sr-Cyrl-CS"/>
        </w:rPr>
        <w:t>;</w:t>
      </w:r>
    </w:p>
    <w:p w:rsidR="005934B2" w:rsidRPr="00B77B97" w:rsidRDefault="005934B2" w:rsidP="00A401F8">
      <w:pPr>
        <w:pStyle w:val="ListParagraph"/>
        <w:numPr>
          <w:ilvl w:val="0"/>
          <w:numId w:val="24"/>
        </w:numPr>
        <w:ind w:left="1134" w:hanging="425"/>
        <w:rPr>
          <w:rFonts w:asciiTheme="minorHAnsi" w:hAnsiTheme="minorHAnsi"/>
          <w:color w:val="auto"/>
          <w:sz w:val="20"/>
          <w:szCs w:val="20"/>
          <w:lang w:val="sr-Cyrl-CS" w:eastAsia="sr-Cyrl-CS"/>
        </w:rPr>
      </w:pPr>
      <w:r w:rsidRPr="00B77B97">
        <w:rPr>
          <w:rFonts w:asciiTheme="minorHAnsi" w:hAnsiTheme="minorHAnsi"/>
          <w:color w:val="auto"/>
          <w:sz w:val="20"/>
          <w:szCs w:val="20"/>
          <w:lang w:val="sr-Cyrl-CS" w:eastAsia="sr-Cyrl-CS"/>
        </w:rPr>
        <w:t xml:space="preserve">pasivna vremenska razgraničenja (PVR) u iznosu od 118.628,90 KM, a odnose se na razgraničene prihode od naknada za kreditni portfelj u iznosu od 22.293,24 KM i razgraničene prihode za potraživanja po amortizacionoj vrijednosti premija po osnovu izdanih redovnih garancija i garancija iz kreditnog portfelja u iznosu od  96.335,66 </w:t>
      </w:r>
      <w:r w:rsidRPr="00B77B97">
        <w:rPr>
          <w:rFonts w:asciiTheme="minorHAnsi" w:hAnsiTheme="minorHAnsi" w:cs="Calibri"/>
          <w:color w:val="auto"/>
          <w:sz w:val="20"/>
          <w:szCs w:val="20"/>
          <w:lang w:val="sr-Cyrl-CS" w:eastAsia="sr-Cyrl-CS"/>
        </w:rPr>
        <w:t>KM</w:t>
      </w:r>
      <w:r>
        <w:rPr>
          <w:rFonts w:asciiTheme="minorHAnsi" w:hAnsiTheme="minorHAnsi" w:cs="Calibri"/>
          <w:color w:val="auto"/>
          <w:sz w:val="20"/>
          <w:szCs w:val="20"/>
          <w:lang w:val="sr-Cyrl-CS" w:eastAsia="sr-Cyrl-CS"/>
        </w:rPr>
        <w:t>;</w:t>
      </w:r>
    </w:p>
    <w:p w:rsidR="005934B2" w:rsidRPr="00B77B97" w:rsidRDefault="005934B2" w:rsidP="00A401F8">
      <w:pPr>
        <w:pStyle w:val="ListParagraph"/>
        <w:numPr>
          <w:ilvl w:val="0"/>
          <w:numId w:val="24"/>
        </w:numPr>
        <w:ind w:left="1134" w:hanging="425"/>
        <w:rPr>
          <w:rFonts w:asciiTheme="minorHAnsi" w:hAnsiTheme="minorHAnsi"/>
          <w:color w:val="FF0000"/>
          <w:sz w:val="20"/>
          <w:szCs w:val="20"/>
          <w:lang w:val="sr-Cyrl-CS" w:eastAsia="sr-Cyrl-CS"/>
        </w:rPr>
      </w:pPr>
      <w:r w:rsidRPr="00A64AF6">
        <w:rPr>
          <w:rFonts w:asciiTheme="minorHAnsi" w:hAnsiTheme="minorHAnsi"/>
          <w:color w:val="auto"/>
          <w:sz w:val="20"/>
          <w:szCs w:val="20"/>
          <w:lang w:val="sr-Cyrl-CS" w:eastAsia="sr-Cyrl-CS"/>
        </w:rPr>
        <w:t xml:space="preserve">obaveze u stranoj valuti iznose 10.759,02 KM, a odnose se na obavezu po osnovu naknade </w:t>
      </w:r>
      <w:r>
        <w:rPr>
          <w:rFonts w:asciiTheme="minorHAnsi" w:hAnsiTheme="minorHAnsi"/>
          <w:color w:val="auto"/>
          <w:sz w:val="20"/>
          <w:szCs w:val="20"/>
          <w:lang w:val="sr-Cyrl-CS" w:eastAsia="sr-Cyrl-CS"/>
        </w:rPr>
        <w:t xml:space="preserve">za članstvo u Evropskoj asocijaciji garantnih fondova. </w:t>
      </w:r>
    </w:p>
    <w:p w:rsidR="005934B2" w:rsidRDefault="005934B2" w:rsidP="00A401F8">
      <w:pPr>
        <w:rPr>
          <w:rFonts w:asciiTheme="minorHAnsi" w:hAnsiTheme="minorHAnsi"/>
          <w:color w:val="auto"/>
          <w:sz w:val="20"/>
          <w:szCs w:val="20"/>
          <w:lang w:val="sr-Cyrl-CS" w:eastAsia="sr-Cyrl-CS"/>
        </w:rPr>
      </w:pPr>
    </w:p>
    <w:p w:rsidR="005934B2" w:rsidRDefault="005934B2" w:rsidP="00A401F8">
      <w:pPr>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Obaveze u 2024. godini su manje za 68% u odnosu na 2023. godinu. Smanjenje je zabilježeno na gotovo svim pozicijama, ali je najveći uticaj imalo izmirenje obaveza po osnovu aktivirane garancije, koje</w:t>
      </w:r>
      <w:r w:rsidRPr="003D0D57">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su činile</w:t>
      </w:r>
      <w:r w:rsidRPr="00B77B97">
        <w:rPr>
          <w:rFonts w:asciiTheme="minorHAnsi" w:hAnsiTheme="minorHAnsi"/>
          <w:color w:val="auto"/>
          <w:sz w:val="20"/>
          <w:szCs w:val="20"/>
          <w:lang w:val="sr-Cyrl-CS" w:eastAsia="sr-Cyrl-CS"/>
        </w:rPr>
        <w:t xml:space="preserve"> više od polovine obaveza Garantnog fonda u 2023. godini</w:t>
      </w:r>
      <w:r>
        <w:rPr>
          <w:rFonts w:asciiTheme="minorHAnsi" w:hAnsiTheme="minorHAnsi"/>
          <w:color w:val="auto"/>
          <w:sz w:val="20"/>
          <w:szCs w:val="20"/>
          <w:lang w:val="sr-Cyrl-CS" w:eastAsia="sr-Cyrl-CS"/>
        </w:rPr>
        <w:t>.</w:t>
      </w:r>
    </w:p>
    <w:p w:rsidR="005934B2" w:rsidRDefault="005934B2" w:rsidP="00A401F8">
      <w:pPr>
        <w:rPr>
          <w:rFonts w:asciiTheme="minorHAnsi" w:hAnsiTheme="minorHAnsi"/>
          <w:color w:val="auto"/>
          <w:sz w:val="20"/>
          <w:szCs w:val="20"/>
          <w:lang w:val="sr-Cyrl-CS" w:eastAsia="sr-Cyrl-CS"/>
        </w:rPr>
      </w:pPr>
    </w:p>
    <w:p w:rsidR="005934B2" w:rsidRPr="00B77B97" w:rsidRDefault="005934B2" w:rsidP="00A401F8">
      <w:pPr>
        <w:rPr>
          <w:rFonts w:asciiTheme="minorHAnsi" w:hAnsiTheme="minorHAnsi"/>
          <w:color w:val="FF0000"/>
          <w:sz w:val="20"/>
          <w:szCs w:val="20"/>
          <w:lang w:val="sr-Cyrl-CS" w:eastAsia="sr-Cyrl-CS"/>
        </w:rPr>
      </w:pPr>
      <w:r>
        <w:rPr>
          <w:rFonts w:asciiTheme="minorHAnsi" w:hAnsiTheme="minorHAnsi"/>
          <w:color w:val="auto"/>
          <w:sz w:val="20"/>
          <w:szCs w:val="20"/>
          <w:lang w:val="sr-Cyrl-CS" w:eastAsia="sr-Cyrl-CS"/>
        </w:rPr>
        <w:t>U 2023. godini je završen sudski postupak između Nove banke a.d. Banja Luka i Garantnog fonda u vezi sa garancijom za klijenta Mane komerc d.o.o. nakon kojeg je nastala obaveza Fonda da plati garanciju u iznosu od 1.485.962,50 KM i</w:t>
      </w:r>
      <w:r w:rsidRPr="007D276B">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 xml:space="preserve">kamatu u iznosu od 288.993,46 KM. Sporazumom između Nove banke kao korisnika garancije i Fonda, plaćanje je odloženo za februar 2024. godine, kada je došlo do stvarnog odliva sredstava. </w:t>
      </w:r>
    </w:p>
    <w:p w:rsidR="005934B2" w:rsidRPr="00330E93" w:rsidRDefault="005934B2" w:rsidP="00A401F8">
      <w:pPr>
        <w:pStyle w:val="ListParagraph"/>
        <w:ind w:left="1134"/>
        <w:rPr>
          <w:rFonts w:asciiTheme="minorHAnsi" w:hAnsiTheme="minorHAnsi"/>
          <w:color w:val="FF0000"/>
          <w:sz w:val="20"/>
          <w:szCs w:val="20"/>
          <w:lang w:val="sr-Cyrl-CS" w:eastAsia="sr-Cyrl-CS"/>
        </w:rPr>
      </w:pPr>
    </w:p>
    <w:p w:rsidR="005934B2" w:rsidRDefault="005934B2" w:rsidP="00A401F8">
      <w:pPr>
        <w:pStyle w:val="ListParagraph"/>
        <w:numPr>
          <w:ilvl w:val="0"/>
          <w:numId w:val="22"/>
        </w:numPr>
        <w:tabs>
          <w:tab w:val="left" w:pos="1134"/>
        </w:tabs>
        <w:ind w:left="1134" w:hanging="425"/>
        <w:rPr>
          <w:rFonts w:asciiTheme="minorHAnsi" w:hAnsiTheme="minorHAnsi"/>
          <w:color w:val="auto"/>
          <w:sz w:val="20"/>
          <w:szCs w:val="20"/>
          <w:lang w:val="sr-Cyrl-CS" w:eastAsia="sr-Cyrl-CS"/>
        </w:rPr>
      </w:pPr>
      <w:r w:rsidRPr="00E00B0B">
        <w:rPr>
          <w:rFonts w:asciiTheme="minorHAnsi" w:hAnsiTheme="minorHAnsi"/>
          <w:b/>
          <w:color w:val="auto"/>
          <w:sz w:val="20"/>
          <w:szCs w:val="20"/>
          <w:lang w:val="sr-Cyrl-CS" w:eastAsia="sr-Cyrl-CS"/>
        </w:rPr>
        <w:t>ukupni kapital</w:t>
      </w:r>
      <w:r w:rsidRPr="00E00B0B">
        <w:rPr>
          <w:rFonts w:asciiTheme="minorHAnsi" w:hAnsiTheme="minorHAnsi"/>
          <w:color w:val="auto"/>
          <w:sz w:val="20"/>
          <w:szCs w:val="20"/>
          <w:lang w:val="sr-Cyrl-CS" w:eastAsia="sr-Cyrl-CS"/>
        </w:rPr>
        <w:t xml:space="preserve"> u iznosu </w:t>
      </w:r>
      <w:r w:rsidRPr="00EF4BB3">
        <w:rPr>
          <w:rFonts w:asciiTheme="minorHAnsi" w:hAnsiTheme="minorHAnsi"/>
          <w:color w:val="auto"/>
          <w:sz w:val="20"/>
          <w:szCs w:val="20"/>
          <w:lang w:val="sr-Cyrl-CS" w:eastAsia="sr-Cyrl-CS"/>
        </w:rPr>
        <w:t xml:space="preserve">od </w:t>
      </w:r>
      <w:r w:rsidRPr="00EF4BB3">
        <w:rPr>
          <w:rFonts w:ascii="Calibri" w:hAnsi="Calibri"/>
          <w:bCs/>
          <w:sz w:val="20"/>
          <w:szCs w:val="20"/>
        </w:rPr>
        <w:t>16.849.590,43</w:t>
      </w:r>
      <w:r>
        <w:rPr>
          <w:rFonts w:ascii="Calibri" w:hAnsi="Calibri"/>
          <w:b/>
          <w:bCs/>
          <w:sz w:val="20"/>
          <w:szCs w:val="20"/>
          <w:lang w:val="sr-Cyrl-RS"/>
        </w:rPr>
        <w:t xml:space="preserve"> </w:t>
      </w:r>
      <w:r w:rsidRPr="00E00B0B">
        <w:rPr>
          <w:rFonts w:asciiTheme="minorHAnsi" w:hAnsiTheme="minorHAnsi"/>
          <w:color w:val="auto"/>
          <w:sz w:val="20"/>
          <w:szCs w:val="20"/>
          <w:lang w:val="sr-Cyrl-CS" w:eastAsia="sr-Cyrl-CS"/>
        </w:rPr>
        <w:t xml:space="preserve">KM, </w:t>
      </w:r>
      <w:r>
        <w:rPr>
          <w:rFonts w:asciiTheme="minorHAnsi" w:hAnsiTheme="minorHAnsi"/>
          <w:color w:val="auto"/>
          <w:sz w:val="20"/>
          <w:szCs w:val="20"/>
          <w:lang w:val="sr-Cyrl-CS" w:eastAsia="sr-Cyrl-CS"/>
        </w:rPr>
        <w:t>a čine ga sljedeće stavke:</w:t>
      </w:r>
      <w:r w:rsidRPr="00E00B0B">
        <w:rPr>
          <w:rFonts w:asciiTheme="minorHAnsi" w:hAnsiTheme="minorHAnsi"/>
          <w:color w:val="auto"/>
          <w:sz w:val="20"/>
          <w:szCs w:val="20"/>
          <w:lang w:val="sr-Cyrl-CS" w:eastAsia="sr-Cyrl-CS"/>
        </w:rPr>
        <w:t xml:space="preserve"> </w:t>
      </w:r>
    </w:p>
    <w:p w:rsidR="005934B2" w:rsidRDefault="005934B2" w:rsidP="00A401F8">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sidRPr="00E00B0B">
        <w:rPr>
          <w:rFonts w:asciiTheme="minorHAnsi" w:hAnsiTheme="minorHAnsi"/>
          <w:color w:val="auto"/>
          <w:sz w:val="20"/>
          <w:szCs w:val="20"/>
          <w:lang w:val="sr-Cyrl-CS" w:eastAsia="sr-Cyrl-CS"/>
        </w:rPr>
        <w:t>akcijski kapital</w:t>
      </w:r>
      <w:r>
        <w:rPr>
          <w:rFonts w:asciiTheme="minorHAnsi" w:hAnsiTheme="minorHAnsi"/>
          <w:color w:val="auto"/>
          <w:sz w:val="20"/>
          <w:szCs w:val="20"/>
          <w:lang w:val="sr-Cyrl-CS" w:eastAsia="sr-Cyrl-CS"/>
        </w:rPr>
        <w:t xml:space="preserve"> u iznosu 30.000.000,00 KM;</w:t>
      </w:r>
    </w:p>
    <w:p w:rsidR="005934B2" w:rsidRPr="00EF4BB3" w:rsidRDefault="005934B2" w:rsidP="00A401F8">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Pr>
          <w:rFonts w:asciiTheme="minorHAnsi" w:hAnsiTheme="minorHAnsi"/>
          <w:color w:val="auto"/>
          <w:sz w:val="20"/>
          <w:szCs w:val="20"/>
          <w:lang w:val="sr-Cyrl-CS" w:eastAsia="sr-Cyrl-CS"/>
        </w:rPr>
        <w:t>gubitak iz ranijih godina</w:t>
      </w:r>
      <w:r w:rsidRPr="00E00B0B">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u iznosu od</w:t>
      </w:r>
      <w:r w:rsidRPr="00E00B0B">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12.170.611,31</w:t>
      </w:r>
      <w:r w:rsidRPr="00E00B0B">
        <w:rPr>
          <w:rFonts w:asciiTheme="minorHAnsi" w:hAnsiTheme="minorHAnsi"/>
          <w:color w:val="auto"/>
          <w:sz w:val="20"/>
          <w:szCs w:val="20"/>
          <w:lang w:val="sr-Cyrl-CS" w:eastAsia="sr-Cyrl-CS"/>
        </w:rPr>
        <w:t xml:space="preserve"> </w:t>
      </w:r>
      <w:r>
        <w:rPr>
          <w:rFonts w:asciiTheme="minorHAnsi" w:hAnsiTheme="minorHAnsi"/>
          <w:color w:val="auto"/>
          <w:sz w:val="20"/>
          <w:szCs w:val="20"/>
          <w:lang w:val="sr-Cyrl-CS" w:eastAsia="sr-Cyrl-CS"/>
        </w:rPr>
        <w:t>KM;</w:t>
      </w:r>
    </w:p>
    <w:p w:rsidR="005934B2" w:rsidRPr="00EF4BB3" w:rsidRDefault="005934B2" w:rsidP="00A401F8">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sidRPr="00EF4BB3">
        <w:rPr>
          <w:rFonts w:asciiTheme="minorHAnsi" w:hAnsiTheme="minorHAnsi"/>
          <w:color w:val="auto"/>
          <w:sz w:val="20"/>
          <w:szCs w:val="20"/>
          <w:lang w:val="sr-Cyrl-CS" w:eastAsia="sr-Cyrl-CS"/>
        </w:rPr>
        <w:t xml:space="preserve">gubitak tekuće godine u iznosu od </w:t>
      </w:r>
      <w:r w:rsidRPr="00EF4BB3">
        <w:rPr>
          <w:rFonts w:ascii="Calibri" w:hAnsi="Calibri"/>
          <w:color w:val="auto"/>
          <w:sz w:val="20"/>
          <w:szCs w:val="20"/>
        </w:rPr>
        <w:t>986.585,69</w:t>
      </w:r>
      <w:r w:rsidRPr="00EF4BB3">
        <w:rPr>
          <w:rFonts w:ascii="Calibri" w:hAnsi="Calibri"/>
          <w:color w:val="auto"/>
          <w:sz w:val="20"/>
          <w:szCs w:val="20"/>
          <w:lang w:val="sr-Cyrl-RS"/>
        </w:rPr>
        <w:t xml:space="preserve"> KM</w:t>
      </w:r>
      <w:r>
        <w:rPr>
          <w:rFonts w:ascii="Calibri" w:hAnsi="Calibri"/>
          <w:sz w:val="20"/>
          <w:szCs w:val="20"/>
          <w:lang w:val="sr-Cyrl-RS"/>
        </w:rPr>
        <w:t>;</w:t>
      </w:r>
    </w:p>
    <w:p w:rsidR="005934B2" w:rsidRDefault="005934B2" w:rsidP="00A401F8">
      <w:pPr>
        <w:pStyle w:val="ListParagraph"/>
        <w:numPr>
          <w:ilvl w:val="0"/>
          <w:numId w:val="24"/>
        </w:numPr>
        <w:tabs>
          <w:tab w:val="left" w:pos="709"/>
        </w:tabs>
        <w:ind w:left="1134" w:hanging="425"/>
        <w:rPr>
          <w:rFonts w:asciiTheme="minorHAnsi" w:hAnsiTheme="minorHAnsi"/>
          <w:color w:val="auto"/>
          <w:sz w:val="20"/>
          <w:szCs w:val="20"/>
          <w:lang w:val="sr-Cyrl-CS" w:eastAsia="sr-Cyrl-CS"/>
        </w:rPr>
      </w:pPr>
      <w:r>
        <w:rPr>
          <w:rFonts w:ascii="Calibri" w:hAnsi="Calibri"/>
          <w:sz w:val="20"/>
          <w:szCs w:val="20"/>
          <w:lang w:val="sr-Cyrl-RS"/>
        </w:rPr>
        <w:t>revalizacione rezerve u iznosu od 6.787,43 KM, nastale kao efekat povećanja vrijednosti udjela Fonda u otvorenom investicionom fondu MS Loans.</w:t>
      </w:r>
    </w:p>
    <w:p w:rsidR="005934B2" w:rsidRPr="005767EF" w:rsidRDefault="005934B2" w:rsidP="00A401F8">
      <w:pPr>
        <w:rPr>
          <w:rFonts w:asciiTheme="minorHAnsi" w:hAnsiTheme="minorHAnsi"/>
          <w:sz w:val="20"/>
          <w:szCs w:val="20"/>
          <w:lang w:val="sr-Cyrl-CS" w:eastAsia="sr-Cyrl-CS"/>
        </w:rPr>
      </w:pPr>
    </w:p>
    <w:p w:rsidR="005934B2" w:rsidRPr="00EE16CE" w:rsidRDefault="005934B2" w:rsidP="00A401F8">
      <w:pPr>
        <w:pStyle w:val="Heading2"/>
        <w:numPr>
          <w:ilvl w:val="0"/>
          <w:numId w:val="0"/>
        </w:numPr>
        <w:ind w:left="576" w:hanging="576"/>
        <w:rPr>
          <w:rFonts w:asciiTheme="minorHAnsi" w:hAnsiTheme="minorHAnsi"/>
          <w:szCs w:val="20"/>
        </w:rPr>
      </w:pPr>
      <w:bookmarkStart w:id="16" w:name="_Toc135292179"/>
      <w:r w:rsidRPr="00EE16CE">
        <w:rPr>
          <w:rFonts w:asciiTheme="minorHAnsi" w:hAnsiTheme="minorHAnsi"/>
          <w:szCs w:val="20"/>
          <w:lang w:val="sr-Cyrl-RS"/>
        </w:rPr>
        <w:t xml:space="preserve">3.5.      </w:t>
      </w:r>
      <w:r w:rsidRPr="00EE16CE">
        <w:rPr>
          <w:rFonts w:asciiTheme="minorHAnsi" w:hAnsiTheme="minorHAnsi"/>
          <w:szCs w:val="20"/>
        </w:rPr>
        <w:t xml:space="preserve">ANALIZA </w:t>
      </w:r>
      <w:r>
        <w:rPr>
          <w:rFonts w:asciiTheme="minorHAnsi" w:hAnsiTheme="minorHAnsi"/>
          <w:szCs w:val="20"/>
          <w:lang w:val="sr-Cyrl-RS"/>
        </w:rPr>
        <w:t xml:space="preserve">SLOBODNIH </w:t>
      </w:r>
      <w:r w:rsidRPr="00EE16CE">
        <w:rPr>
          <w:rFonts w:asciiTheme="minorHAnsi" w:hAnsiTheme="minorHAnsi"/>
          <w:szCs w:val="20"/>
          <w:lang w:val="sr-Cyrl-RS"/>
        </w:rPr>
        <w:t>NOVČANIH SREDSTAVA</w:t>
      </w:r>
      <w:r w:rsidRPr="00EE16CE">
        <w:rPr>
          <w:rFonts w:asciiTheme="minorHAnsi" w:hAnsiTheme="minorHAnsi"/>
          <w:szCs w:val="20"/>
        </w:rPr>
        <w:t xml:space="preserve"> NA DAN 31.12.202</w:t>
      </w:r>
      <w:r>
        <w:rPr>
          <w:rFonts w:asciiTheme="minorHAnsi" w:hAnsiTheme="minorHAnsi"/>
          <w:szCs w:val="20"/>
          <w:lang w:val="sr-Cyrl-RS"/>
        </w:rPr>
        <w:t>4</w:t>
      </w:r>
      <w:r w:rsidRPr="00EE16CE">
        <w:rPr>
          <w:rFonts w:asciiTheme="minorHAnsi" w:hAnsiTheme="minorHAnsi"/>
          <w:szCs w:val="20"/>
        </w:rPr>
        <w:t>. GODINE</w:t>
      </w:r>
      <w:bookmarkEnd w:id="16"/>
    </w:p>
    <w:p w:rsidR="005934B2" w:rsidRPr="005767EF" w:rsidRDefault="005934B2" w:rsidP="00A401F8">
      <w:pPr>
        <w:jc w:val="center"/>
        <w:rPr>
          <w:rFonts w:asciiTheme="minorHAnsi" w:hAnsiTheme="minorHAnsi"/>
          <w:b/>
          <w:sz w:val="20"/>
          <w:szCs w:val="20"/>
          <w:lang w:val="sr-Cyrl-CS" w:eastAsia="sr-Cyrl-CS"/>
        </w:rPr>
      </w:pPr>
    </w:p>
    <w:p w:rsidR="005934B2" w:rsidRDefault="005934B2" w:rsidP="00A401F8">
      <w:pPr>
        <w:autoSpaceDE w:val="0"/>
        <w:autoSpaceDN w:val="0"/>
        <w:adjustRightInd w:val="0"/>
        <w:rPr>
          <w:rFonts w:asciiTheme="minorHAnsi" w:eastAsiaTheme="minorHAnsi" w:hAnsiTheme="minorHAnsi"/>
          <w:color w:val="auto"/>
          <w:sz w:val="20"/>
          <w:szCs w:val="20"/>
          <w:lang w:val="sr-Cyrl-RS" w:eastAsia="en-US"/>
        </w:rPr>
      </w:pPr>
      <w:r w:rsidRPr="005767EF">
        <w:rPr>
          <w:rFonts w:asciiTheme="minorHAnsi" w:eastAsiaTheme="minorHAnsi" w:hAnsiTheme="minorHAnsi"/>
          <w:color w:val="auto"/>
          <w:sz w:val="20"/>
          <w:szCs w:val="20"/>
          <w:lang w:val="sr-Latn-RS" w:eastAsia="en-US"/>
        </w:rPr>
        <w:t>Pravilnikom o ulaganju sredstava Garantnog fonda Republike Srpske</w:t>
      </w:r>
      <w:r w:rsidRPr="005767EF">
        <w:rPr>
          <w:rFonts w:asciiTheme="minorHAnsi" w:eastAsiaTheme="minorHAnsi" w:hAnsiTheme="minorHAnsi"/>
          <w:color w:val="auto"/>
          <w:sz w:val="20"/>
          <w:szCs w:val="20"/>
          <w:lang w:val="sr-Cyrl-BA" w:eastAsia="en-US"/>
        </w:rPr>
        <w:t xml:space="preserve"> koji je donijela Skupština akcionara Fonda 11.03.2021. godine </w:t>
      </w:r>
      <w:r w:rsidRPr="005767EF">
        <w:rPr>
          <w:rFonts w:asciiTheme="minorHAnsi" w:eastAsiaTheme="minorHAnsi" w:hAnsiTheme="minorHAnsi"/>
          <w:color w:val="auto"/>
          <w:sz w:val="20"/>
          <w:szCs w:val="20"/>
          <w:lang w:val="sr-Latn-RS" w:eastAsia="en-US"/>
        </w:rPr>
        <w:t>defini</w:t>
      </w:r>
      <w:r w:rsidRPr="005767EF">
        <w:rPr>
          <w:rFonts w:asciiTheme="minorHAnsi" w:eastAsiaTheme="minorHAnsi" w:hAnsiTheme="minorHAnsi"/>
          <w:color w:val="auto"/>
          <w:sz w:val="20"/>
          <w:szCs w:val="20"/>
          <w:lang w:val="sr-Cyrl-BA" w:eastAsia="en-US"/>
        </w:rPr>
        <w:t xml:space="preserve">sani su </w:t>
      </w:r>
      <w:r w:rsidRPr="005767EF">
        <w:rPr>
          <w:rFonts w:asciiTheme="minorHAnsi" w:eastAsiaTheme="minorHAnsi" w:hAnsiTheme="minorHAnsi"/>
          <w:color w:val="auto"/>
          <w:sz w:val="20"/>
          <w:szCs w:val="20"/>
          <w:lang w:val="sr-Latn-RS" w:eastAsia="en-US"/>
        </w:rPr>
        <w:t xml:space="preserve"> ciljevi investiranja, načela i pravila ulaganja sredstava </w:t>
      </w:r>
      <w:r w:rsidRPr="005767EF">
        <w:rPr>
          <w:rFonts w:asciiTheme="minorHAnsi" w:eastAsiaTheme="minorHAnsi" w:hAnsiTheme="minorHAnsi"/>
          <w:color w:val="auto"/>
          <w:sz w:val="20"/>
          <w:szCs w:val="20"/>
          <w:lang w:val="sr-Cyrl-BA" w:eastAsia="en-US"/>
        </w:rPr>
        <w:t>Fonda u cilju njegovog razvoja.</w:t>
      </w:r>
      <w:r w:rsidRPr="005767EF">
        <w:rPr>
          <w:rFonts w:asciiTheme="minorHAnsi" w:eastAsiaTheme="minorHAnsi" w:hAnsiTheme="minorHAnsi"/>
          <w:color w:val="auto"/>
          <w:sz w:val="20"/>
          <w:szCs w:val="20"/>
          <w:lang w:val="sr-Latn-RS" w:eastAsia="en-US"/>
        </w:rPr>
        <w:t xml:space="preserve"> </w:t>
      </w:r>
    </w:p>
    <w:p w:rsidR="005934B2" w:rsidRPr="008C6F9F" w:rsidRDefault="005934B2" w:rsidP="00A401F8">
      <w:pPr>
        <w:autoSpaceDE w:val="0"/>
        <w:autoSpaceDN w:val="0"/>
        <w:adjustRightInd w:val="0"/>
        <w:rPr>
          <w:rFonts w:asciiTheme="minorHAnsi" w:eastAsiaTheme="minorHAnsi" w:hAnsiTheme="minorHAnsi"/>
          <w:color w:val="auto"/>
          <w:sz w:val="20"/>
          <w:szCs w:val="20"/>
          <w:lang w:val="sr-Cyrl-RS" w:eastAsia="en-US"/>
        </w:rPr>
      </w:pPr>
    </w:p>
    <w:p w:rsidR="005934B2" w:rsidRPr="005767EF" w:rsidRDefault="005934B2" w:rsidP="00A401F8">
      <w:pPr>
        <w:autoSpaceDE w:val="0"/>
        <w:autoSpaceDN w:val="0"/>
        <w:adjustRightInd w:val="0"/>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Cyrl-BA" w:eastAsia="en-US"/>
        </w:rPr>
        <w:t>Osnovni principi ulaganja zasnivaju se na :</w:t>
      </w:r>
    </w:p>
    <w:p w:rsidR="005934B2" w:rsidRPr="005767EF" w:rsidRDefault="005934B2" w:rsidP="00A401F8">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usklađenosti sa bazičnim ciljevima društva kao cjeline</w:t>
      </w:r>
      <w:r>
        <w:rPr>
          <w:rFonts w:asciiTheme="minorHAnsi" w:eastAsiaTheme="minorHAnsi" w:hAnsiTheme="minorHAnsi"/>
          <w:color w:val="auto"/>
          <w:sz w:val="20"/>
          <w:szCs w:val="20"/>
          <w:lang w:val="sr-Cyrl-RS" w:eastAsia="en-US"/>
        </w:rPr>
        <w:t>;</w:t>
      </w:r>
    </w:p>
    <w:p w:rsidR="005934B2" w:rsidRPr="005767EF" w:rsidRDefault="005934B2" w:rsidP="00A401F8">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usklađenosti sa bazičnim ciljevima Programa ekonomskih reformi Vlade Republike Srpske</w:t>
      </w:r>
      <w:r>
        <w:rPr>
          <w:rFonts w:asciiTheme="minorHAnsi" w:eastAsiaTheme="minorHAnsi" w:hAnsiTheme="minorHAnsi"/>
          <w:color w:val="auto"/>
          <w:sz w:val="20"/>
          <w:szCs w:val="20"/>
          <w:lang w:val="sr-Cyrl-RS" w:eastAsia="en-US"/>
        </w:rPr>
        <w:t>;</w:t>
      </w:r>
    </w:p>
    <w:p w:rsidR="005934B2" w:rsidRPr="005767EF" w:rsidRDefault="005934B2" w:rsidP="00A401F8">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color w:val="auto"/>
          <w:sz w:val="20"/>
          <w:szCs w:val="20"/>
          <w:lang w:val="sr-Latn-RS" w:eastAsia="en-US"/>
        </w:rPr>
        <w:t>potpunom povezanosti ca razvojnom politikom Fonda</w:t>
      </w:r>
      <w:r>
        <w:rPr>
          <w:rFonts w:asciiTheme="minorHAnsi" w:eastAsiaTheme="minorHAnsi" w:hAnsiTheme="minorHAnsi"/>
          <w:color w:val="auto"/>
          <w:sz w:val="20"/>
          <w:szCs w:val="20"/>
          <w:lang w:val="sr-Cyrl-RS" w:eastAsia="en-US"/>
        </w:rPr>
        <w:t>;</w:t>
      </w:r>
    </w:p>
    <w:p w:rsidR="005934B2" w:rsidRPr="005767EF" w:rsidRDefault="005934B2" w:rsidP="00A401F8">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Theme="minorHAnsi" w:hAnsiTheme="minorHAnsi"/>
          <w:iCs/>
          <w:color w:val="auto"/>
          <w:sz w:val="20"/>
          <w:szCs w:val="20"/>
          <w:lang w:val="sr-Latn-RS" w:eastAsia="en-US"/>
        </w:rPr>
        <w:t>ob</w:t>
      </w:r>
      <w:r w:rsidRPr="005767EF">
        <w:rPr>
          <w:rFonts w:asciiTheme="minorHAnsi" w:eastAsiaTheme="minorHAnsi" w:hAnsiTheme="minorHAnsi"/>
          <w:color w:val="auto"/>
          <w:sz w:val="20"/>
          <w:szCs w:val="20"/>
          <w:lang w:val="sr-Latn-RS" w:eastAsia="en-US"/>
        </w:rPr>
        <w:t>jektivnosti u odlučivanju o najpovoljnijem investicionom rje</w:t>
      </w:r>
      <w:r w:rsidRPr="005767EF">
        <w:rPr>
          <w:rFonts w:asciiTheme="minorHAnsi" w:eastAsiaTheme="minorHAnsi" w:hAnsiTheme="minorHAnsi"/>
          <w:color w:val="auto"/>
          <w:sz w:val="20"/>
          <w:szCs w:val="20"/>
          <w:lang w:val="sr-Cyrl-BA" w:eastAsia="en-US"/>
        </w:rPr>
        <w:t>šenju</w:t>
      </w:r>
      <w:r>
        <w:rPr>
          <w:rFonts w:asciiTheme="minorHAnsi" w:eastAsiaTheme="minorHAnsi" w:hAnsiTheme="minorHAnsi"/>
          <w:color w:val="auto"/>
          <w:sz w:val="20"/>
          <w:szCs w:val="20"/>
          <w:lang w:val="sr-Cyrl-BA" w:eastAsia="en-US"/>
        </w:rPr>
        <w:t>;</w:t>
      </w:r>
    </w:p>
    <w:p w:rsidR="005934B2" w:rsidRPr="005767EF" w:rsidRDefault="005934B2" w:rsidP="00A401F8">
      <w:pPr>
        <w:pStyle w:val="ListParagraph"/>
        <w:numPr>
          <w:ilvl w:val="0"/>
          <w:numId w:val="22"/>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sigurnosti imovine Fonda (Fond će ulagati u finansijske instrumente emitenata sa visokim kreditnim rejtingom i niskim rizikom)</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diversifikacije portfelja</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likvidnosti - ulaganje će se vršiti u finansijske instrumente koje je moguće brzo i efikasno kupiti i prodati po relativno ujednačenoj i stabilnoj cijeni kao i finansijske instrumente čiji je novčani tok izvjestan i unaprijed poznat</w:t>
      </w:r>
      <w:r>
        <w:rPr>
          <w:rFonts w:asciiTheme="minorHAnsi" w:eastAsia="Gulim" w:hAnsiTheme="minorHAnsi"/>
          <w:color w:val="auto"/>
          <w:sz w:val="20"/>
          <w:szCs w:val="20"/>
          <w:lang w:val="sr-Cyrl-RS" w:eastAsia="en-US"/>
        </w:rPr>
        <w:t>;</w:t>
      </w:r>
    </w:p>
    <w:p w:rsidR="005934B2" w:rsidRPr="00B44D0C" w:rsidRDefault="005934B2" w:rsidP="00A401F8">
      <w:pPr>
        <w:pStyle w:val="ListParagraph"/>
        <w:numPr>
          <w:ilvl w:val="0"/>
          <w:numId w:val="22"/>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profitabilnosti - ulaganje će se vršiti na način da se u strukturi portfelja Fonda nalaze finansijski instrumenti koje, uz uvažavanje prethodnih načela, donose najveći prinos za preuzeti nivo rizika</w:t>
      </w:r>
      <w:r>
        <w:rPr>
          <w:rFonts w:asciiTheme="minorHAnsi" w:eastAsia="Gulim" w:hAnsiTheme="minorHAnsi"/>
          <w:color w:val="auto"/>
          <w:sz w:val="20"/>
          <w:szCs w:val="20"/>
          <w:lang w:val="sr-Cyrl-RS" w:eastAsia="en-US"/>
        </w:rPr>
        <w:t>.</w:t>
      </w:r>
    </w:p>
    <w:p w:rsidR="005934B2" w:rsidRPr="005767EF" w:rsidRDefault="005934B2" w:rsidP="00A401F8">
      <w:pPr>
        <w:pStyle w:val="ListParagraph"/>
        <w:autoSpaceDE w:val="0"/>
        <w:autoSpaceDN w:val="0"/>
        <w:adjustRightInd w:val="0"/>
        <w:ind w:left="993"/>
        <w:jc w:val="left"/>
        <w:rPr>
          <w:rFonts w:asciiTheme="minorHAnsi" w:eastAsiaTheme="minorHAnsi" w:hAnsiTheme="minorHAnsi"/>
          <w:color w:val="auto"/>
          <w:sz w:val="20"/>
          <w:szCs w:val="20"/>
          <w:lang w:val="sr-Latn-RS" w:eastAsia="en-US"/>
        </w:rPr>
      </w:pPr>
    </w:p>
    <w:p w:rsidR="005934B2" w:rsidRDefault="005934B2" w:rsidP="00A401F8">
      <w:pPr>
        <w:autoSpaceDE w:val="0"/>
        <w:autoSpaceDN w:val="0"/>
        <w:adjustRightInd w:val="0"/>
        <w:rPr>
          <w:rFonts w:asciiTheme="minorHAnsi" w:eastAsia="Gulim" w:hAnsiTheme="minorHAnsi"/>
          <w:color w:val="auto"/>
          <w:sz w:val="20"/>
          <w:szCs w:val="20"/>
          <w:lang w:val="sr-Cyrl-RS" w:eastAsia="en-US"/>
        </w:rPr>
      </w:pPr>
      <w:r w:rsidRPr="005767EF">
        <w:rPr>
          <w:rFonts w:asciiTheme="minorHAnsi" w:eastAsia="Gulim" w:hAnsiTheme="minorHAnsi"/>
          <w:color w:val="auto"/>
          <w:sz w:val="20"/>
          <w:szCs w:val="20"/>
          <w:lang w:val="sr-Latn-RS" w:eastAsia="en-US"/>
        </w:rPr>
        <w:t>Cilj investiranja sredstava Garantnog fonda Republike Srpske je da se ostvari dugoročno stabilna stopa prinosa u odnosu na ulaganja Fonda</w:t>
      </w:r>
      <w:r>
        <w:rPr>
          <w:rFonts w:asciiTheme="minorHAnsi" w:eastAsia="Gulim" w:hAnsiTheme="minorHAnsi"/>
          <w:color w:val="auto"/>
          <w:sz w:val="20"/>
          <w:szCs w:val="20"/>
          <w:lang w:val="sr-Cyrl-RS" w:eastAsia="en-US"/>
        </w:rPr>
        <w:t>,</w:t>
      </w:r>
      <w:r w:rsidRPr="005767EF">
        <w:rPr>
          <w:rFonts w:asciiTheme="minorHAnsi" w:eastAsia="Gulim" w:hAnsiTheme="minorHAnsi"/>
          <w:color w:val="auto"/>
          <w:sz w:val="20"/>
          <w:szCs w:val="20"/>
          <w:lang w:val="sr-Latn-RS" w:eastAsia="en-US"/>
        </w:rPr>
        <w:t xml:space="preserve"> provodeći umjereno konzervativnu investicionu politiku.</w:t>
      </w:r>
    </w:p>
    <w:p w:rsidR="005934B2" w:rsidRPr="00B44D0C" w:rsidRDefault="005934B2" w:rsidP="00A401F8">
      <w:pPr>
        <w:autoSpaceDE w:val="0"/>
        <w:autoSpaceDN w:val="0"/>
        <w:adjustRightInd w:val="0"/>
        <w:rPr>
          <w:rFonts w:asciiTheme="minorHAnsi" w:eastAsia="Gulim" w:hAnsiTheme="minorHAnsi"/>
          <w:color w:val="auto"/>
          <w:sz w:val="20"/>
          <w:szCs w:val="20"/>
          <w:lang w:val="sr-Cyrl-RS" w:eastAsia="en-US"/>
        </w:rPr>
      </w:pPr>
    </w:p>
    <w:p w:rsidR="005934B2" w:rsidRPr="005767EF" w:rsidRDefault="005934B2" w:rsidP="00A401F8">
      <w:pPr>
        <w:autoSpaceDE w:val="0"/>
        <w:autoSpaceDN w:val="0"/>
        <w:adjustRightInd w:val="0"/>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Garantni fond Republike Srpske raspoloživa sredstva može da ulaže u:</w:t>
      </w:r>
    </w:p>
    <w:p w:rsidR="005934B2" w:rsidRPr="005767EF" w:rsidRDefault="005934B2" w:rsidP="00A401F8">
      <w:pPr>
        <w:autoSpaceDE w:val="0"/>
        <w:autoSpaceDN w:val="0"/>
        <w:adjustRightInd w:val="0"/>
        <w:jc w:val="left"/>
        <w:rPr>
          <w:rFonts w:asciiTheme="minorHAnsi" w:eastAsia="Gulim" w:hAnsiTheme="minorHAnsi"/>
          <w:color w:val="auto"/>
          <w:sz w:val="20"/>
          <w:szCs w:val="20"/>
          <w:lang w:val="sr-Latn-RS" w:eastAsia="en-US"/>
        </w:rPr>
      </w:pP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oročene depozite u bankama sa sjedištem u Republici Srpskoj</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dužničke hartije od vrijednosti čiji je emitent ili garant Republika Srpska</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obveznice i druge dužničke hartije od vrijednosti koje je izdala ili dala garanciju jedinica lokalne samouprave u Republici Srpskoj</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obveznice banaka i drugih finansijskih institucija kojima se trguje na organizovanom tržištu hartija od vrijednosti u Republici Srpskoj</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obveznice privrednih društava kojima se trguje na organizovanom tržištu hartija od vrijednosti u Republici Srpskoj</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redovne akcije banaka i drugih finansijskih institucija kojima se trguje na organizovanom tržištu hartija od vrijednosti u Republici Srpskoj</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prioritetne akcije banaka i drugih finansijskih institucija kojima se trguje na organizovanom tržištu hartija od vrijednosti u Republici Srpskoj</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subordinirane obveznice banaka i drugih finansijskih institucija kojima se trguje na organizovanom tržištu hartija od vrijednosti u Republici Srpskoj</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nekretnine; u izuzetnim slučajevima prinudne naplate potraživanja nastalih</w:t>
      </w:r>
      <w:r w:rsidRPr="005767EF">
        <w:rPr>
          <w:rFonts w:asciiTheme="minorHAnsi" w:eastAsia="Gulim" w:hAnsiTheme="minorHAnsi"/>
          <w:color w:val="auto"/>
          <w:sz w:val="20"/>
          <w:szCs w:val="20"/>
          <w:lang w:val="sr-Cyrl-BA" w:eastAsia="en-US"/>
        </w:rPr>
        <w:t xml:space="preserve"> </w:t>
      </w:r>
      <w:r w:rsidRPr="005767EF">
        <w:rPr>
          <w:rFonts w:asciiTheme="minorHAnsi" w:eastAsia="Gulim" w:hAnsiTheme="minorHAnsi"/>
          <w:color w:val="auto"/>
          <w:sz w:val="20"/>
          <w:szCs w:val="20"/>
          <w:lang w:val="sr-Latn-RS" w:eastAsia="en-US"/>
        </w:rPr>
        <w:t xml:space="preserve"> po osnovu izdatih garancija</w:t>
      </w:r>
      <w:r>
        <w:rPr>
          <w:rFonts w:asciiTheme="minorHAnsi" w:eastAsia="Gulim" w:hAnsiTheme="minorHAnsi"/>
          <w:color w:val="auto"/>
          <w:sz w:val="20"/>
          <w:szCs w:val="20"/>
          <w:lang w:val="sr-Cyrl-RS" w:eastAsia="en-US"/>
        </w:rPr>
        <w:t>;</w:t>
      </w:r>
    </w:p>
    <w:p w:rsidR="005934B2" w:rsidRPr="005767EF" w:rsidRDefault="005934B2" w:rsidP="00A401F8">
      <w:pPr>
        <w:pStyle w:val="ListParagraph"/>
        <w:numPr>
          <w:ilvl w:val="0"/>
          <w:numId w:val="26"/>
        </w:numPr>
        <w:autoSpaceDE w:val="0"/>
        <w:autoSpaceDN w:val="0"/>
        <w:adjustRightInd w:val="0"/>
        <w:ind w:left="993"/>
        <w:jc w:val="left"/>
        <w:rPr>
          <w:rFonts w:asciiTheme="minorHAnsi" w:eastAsia="Gulim" w:hAnsiTheme="minorHAnsi"/>
          <w:color w:val="auto"/>
          <w:sz w:val="20"/>
          <w:szCs w:val="20"/>
          <w:lang w:val="sr-Latn-RS" w:eastAsia="en-US"/>
        </w:rPr>
      </w:pPr>
      <w:r w:rsidRPr="005767EF">
        <w:rPr>
          <w:rFonts w:asciiTheme="minorHAnsi" w:eastAsia="Gulim" w:hAnsiTheme="minorHAnsi"/>
          <w:color w:val="auto"/>
          <w:sz w:val="20"/>
          <w:szCs w:val="20"/>
          <w:lang w:val="sr-Latn-RS" w:eastAsia="en-US"/>
        </w:rPr>
        <w:t>udje</w:t>
      </w:r>
      <w:r w:rsidRPr="005767EF">
        <w:rPr>
          <w:rFonts w:asciiTheme="minorHAnsi" w:eastAsia="Gulim" w:hAnsiTheme="minorHAnsi"/>
          <w:color w:val="auto"/>
          <w:sz w:val="20"/>
          <w:szCs w:val="20"/>
          <w:lang w:val="sr-Cyrl-BA" w:eastAsia="en-US"/>
        </w:rPr>
        <w:t xml:space="preserve">le u </w:t>
      </w:r>
      <w:r w:rsidRPr="005767EF">
        <w:rPr>
          <w:rFonts w:asciiTheme="minorHAnsi" w:eastAsia="Gulim" w:hAnsiTheme="minorHAnsi"/>
          <w:color w:val="auto"/>
          <w:sz w:val="20"/>
          <w:szCs w:val="20"/>
          <w:lang w:val="sr-Latn-RS" w:eastAsia="en-US"/>
        </w:rPr>
        <w:t xml:space="preserve"> otvorenim investicionoim fondovima registrovanim u Republici Srpskoj kojima se trguje na organizovanom tržištu hartija od vrijednosti u</w:t>
      </w:r>
      <w:r w:rsidRPr="005767EF">
        <w:rPr>
          <w:rFonts w:asciiTheme="minorHAnsi" w:eastAsia="Gulim" w:hAnsiTheme="minorHAnsi"/>
          <w:color w:val="auto"/>
          <w:sz w:val="20"/>
          <w:szCs w:val="20"/>
          <w:lang w:val="sr-Cyrl-BA" w:eastAsia="en-US"/>
        </w:rPr>
        <w:t xml:space="preserve"> </w:t>
      </w:r>
      <w:r w:rsidRPr="005767EF">
        <w:rPr>
          <w:rFonts w:asciiTheme="minorHAnsi" w:eastAsia="Gulim" w:hAnsiTheme="minorHAnsi"/>
          <w:color w:val="auto"/>
          <w:sz w:val="20"/>
          <w:szCs w:val="20"/>
          <w:lang w:val="sr-Latn-RS" w:eastAsia="en-US"/>
        </w:rPr>
        <w:t>Republici Srpskoj</w:t>
      </w:r>
      <w:r>
        <w:rPr>
          <w:rFonts w:asciiTheme="minorHAnsi" w:eastAsia="Gulim" w:hAnsiTheme="minorHAnsi"/>
          <w:color w:val="auto"/>
          <w:sz w:val="20"/>
          <w:szCs w:val="20"/>
          <w:lang w:val="sr-Cyrl-RS" w:eastAsia="en-US"/>
        </w:rPr>
        <w:t>;</w:t>
      </w:r>
    </w:p>
    <w:p w:rsidR="005934B2" w:rsidRPr="000F5C04" w:rsidRDefault="005934B2" w:rsidP="00A401F8">
      <w:pPr>
        <w:pStyle w:val="ListParagraph"/>
        <w:numPr>
          <w:ilvl w:val="0"/>
          <w:numId w:val="26"/>
        </w:numPr>
        <w:autoSpaceDE w:val="0"/>
        <w:autoSpaceDN w:val="0"/>
        <w:adjustRightInd w:val="0"/>
        <w:ind w:left="993"/>
        <w:jc w:val="left"/>
        <w:rPr>
          <w:rFonts w:asciiTheme="minorHAnsi" w:eastAsiaTheme="minorHAnsi" w:hAnsiTheme="minorHAnsi"/>
          <w:color w:val="auto"/>
          <w:sz w:val="20"/>
          <w:szCs w:val="20"/>
          <w:lang w:val="sr-Latn-RS" w:eastAsia="en-US"/>
        </w:rPr>
      </w:pPr>
      <w:r w:rsidRPr="005767EF">
        <w:rPr>
          <w:rFonts w:asciiTheme="minorHAnsi" w:eastAsia="Gulim" w:hAnsiTheme="minorHAnsi"/>
          <w:color w:val="auto"/>
          <w:sz w:val="20"/>
          <w:szCs w:val="20"/>
          <w:lang w:val="sr-Latn-RS" w:eastAsia="en-US"/>
        </w:rPr>
        <w:t>akcije privrednih društava sa sjedištem u Republici Srpskoj kojima se trguje na organizovanom tržištu hartija od vrijednosti u Republici Srpskoj</w:t>
      </w:r>
      <w:r>
        <w:rPr>
          <w:rFonts w:asciiTheme="minorHAnsi" w:eastAsia="Gulim" w:hAnsiTheme="minorHAnsi"/>
          <w:color w:val="auto"/>
          <w:sz w:val="20"/>
          <w:szCs w:val="20"/>
          <w:lang w:val="sr-Cyrl-RS" w:eastAsia="en-US"/>
        </w:rPr>
        <w:t>.</w:t>
      </w:r>
    </w:p>
    <w:p w:rsidR="005934B2" w:rsidRDefault="005934B2" w:rsidP="00A401F8">
      <w:pPr>
        <w:rPr>
          <w:rFonts w:asciiTheme="minorHAnsi" w:eastAsiaTheme="minorHAnsi" w:hAnsiTheme="minorHAnsi"/>
          <w:color w:val="auto"/>
          <w:sz w:val="20"/>
          <w:szCs w:val="20"/>
          <w:lang w:val="sr-Cyrl-BA" w:eastAsia="en-US"/>
        </w:rPr>
      </w:pPr>
    </w:p>
    <w:p w:rsidR="005934B2" w:rsidRDefault="005934B2" w:rsidP="00A401F8">
      <w:pPr>
        <w:rPr>
          <w:rFonts w:asciiTheme="minorHAnsi" w:eastAsia="Calibri" w:hAnsiTheme="minorHAnsi"/>
          <w:color w:val="auto"/>
          <w:sz w:val="20"/>
          <w:szCs w:val="20"/>
          <w:lang w:val="sr-Cyrl-RS" w:eastAsia="en-US"/>
        </w:rPr>
      </w:pPr>
      <w:r w:rsidRPr="005767EF">
        <w:rPr>
          <w:rFonts w:asciiTheme="minorHAnsi" w:eastAsiaTheme="minorHAnsi" w:hAnsiTheme="minorHAnsi"/>
          <w:color w:val="auto"/>
          <w:sz w:val="20"/>
          <w:szCs w:val="20"/>
          <w:lang w:val="sr-Cyrl-BA" w:eastAsia="en-US"/>
        </w:rPr>
        <w:t>Uvažavajući gore navedene principe, kriterije i mogućnosti ulaganja slo</w:t>
      </w:r>
      <w:r>
        <w:rPr>
          <w:rFonts w:asciiTheme="minorHAnsi" w:eastAsiaTheme="minorHAnsi" w:hAnsiTheme="minorHAnsi"/>
          <w:color w:val="auto"/>
          <w:sz w:val="20"/>
          <w:szCs w:val="20"/>
          <w:lang w:val="sr-Cyrl-BA" w:eastAsia="en-US"/>
        </w:rPr>
        <w:t xml:space="preserve">bodnih novčanih sredstava, </w:t>
      </w:r>
      <w:r w:rsidRPr="005767EF">
        <w:rPr>
          <w:rFonts w:asciiTheme="minorHAnsi" w:eastAsiaTheme="minorHAnsi" w:hAnsiTheme="minorHAnsi"/>
          <w:color w:val="auto"/>
          <w:sz w:val="20"/>
          <w:szCs w:val="20"/>
          <w:lang w:val="sr-Cyrl-BA" w:eastAsia="en-US"/>
        </w:rPr>
        <w:t>Fond</w:t>
      </w:r>
      <w:r>
        <w:rPr>
          <w:rFonts w:asciiTheme="minorHAnsi" w:eastAsiaTheme="minorHAnsi" w:hAnsiTheme="minorHAnsi"/>
          <w:color w:val="auto"/>
          <w:sz w:val="20"/>
          <w:szCs w:val="20"/>
          <w:lang w:val="sr-Cyrl-BA" w:eastAsia="en-US"/>
        </w:rPr>
        <w:t xml:space="preserve"> je</w:t>
      </w:r>
      <w:r w:rsidRPr="005767EF">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kontinuirano vršio</w:t>
      </w:r>
      <w:r w:rsidRPr="005767EF">
        <w:rPr>
          <w:rFonts w:asciiTheme="minorHAnsi" w:eastAsiaTheme="minorHAnsi" w:hAnsiTheme="minorHAnsi"/>
          <w:color w:val="auto"/>
          <w:sz w:val="20"/>
          <w:szCs w:val="20"/>
          <w:lang w:val="sr-Cyrl-BA" w:eastAsia="en-US"/>
        </w:rPr>
        <w:t xml:space="preserve"> ulaganja slobodnih novčanih sredstava u </w:t>
      </w:r>
      <w:r>
        <w:rPr>
          <w:rFonts w:asciiTheme="minorHAnsi" w:eastAsiaTheme="minorHAnsi" w:hAnsiTheme="minorHAnsi"/>
          <w:color w:val="auto"/>
          <w:sz w:val="20"/>
          <w:szCs w:val="20"/>
          <w:lang w:val="sr-Cyrl-BA" w:eastAsia="en-US"/>
        </w:rPr>
        <w:t xml:space="preserve">dužničke </w:t>
      </w:r>
      <w:r w:rsidRPr="005767EF">
        <w:rPr>
          <w:rFonts w:asciiTheme="minorHAnsi" w:eastAsiaTheme="minorHAnsi" w:hAnsiTheme="minorHAnsi"/>
          <w:color w:val="auto"/>
          <w:sz w:val="20"/>
          <w:szCs w:val="20"/>
          <w:lang w:val="sr-Cyrl-BA" w:eastAsia="en-US"/>
        </w:rPr>
        <w:t>hartije od vrijednosti</w:t>
      </w:r>
      <w:r>
        <w:rPr>
          <w:rFonts w:asciiTheme="minorHAnsi" w:eastAsiaTheme="minorHAnsi" w:hAnsiTheme="minorHAnsi"/>
          <w:color w:val="auto"/>
          <w:sz w:val="20"/>
          <w:szCs w:val="20"/>
          <w:lang w:val="sr-Cyrl-BA" w:eastAsia="en-US"/>
        </w:rPr>
        <w:t xml:space="preserve">, te je na dan 31.12.2024. godine više od polovine novčanih sredstava Fonda uloženo u obveznice različitih emitenata, gdje su na prvom mjestu obveznice Republike Srpske. </w:t>
      </w:r>
      <w:r>
        <w:rPr>
          <w:rFonts w:asciiTheme="minorHAnsi" w:eastAsia="Calibri" w:hAnsiTheme="minorHAnsi"/>
          <w:color w:val="auto"/>
          <w:sz w:val="20"/>
          <w:szCs w:val="20"/>
          <w:lang w:val="sr-Cyrl-RS" w:eastAsia="en-US"/>
        </w:rPr>
        <w:t xml:space="preserve">Značajan dio sredstava se nalazi u grupi „ostali plasmani“, koji se odnose na sredstva Fonda u Bobar banci-u likvidaciji i Banci Srpske-u stečaju, te plasmane za izvršena plaćanja po garancijama. </w:t>
      </w:r>
      <w:r w:rsidRPr="00DE3404">
        <w:rPr>
          <w:rFonts w:asciiTheme="minorHAnsi" w:eastAsia="Calibri" w:hAnsiTheme="minorHAnsi"/>
          <w:color w:val="auto"/>
          <w:sz w:val="20"/>
          <w:szCs w:val="20"/>
          <w:lang w:val="sr-Cyrl-RS" w:eastAsia="en-US"/>
        </w:rPr>
        <w:t xml:space="preserve">Tabela 22 </w:t>
      </w:r>
      <w:r>
        <w:rPr>
          <w:rFonts w:asciiTheme="minorHAnsi" w:eastAsia="Calibri" w:hAnsiTheme="minorHAnsi"/>
          <w:color w:val="auto"/>
          <w:sz w:val="20"/>
          <w:szCs w:val="20"/>
          <w:lang w:val="sr-Cyrl-RS" w:eastAsia="en-US"/>
        </w:rPr>
        <w:t>daje pregled stanja i strukture ulaganja novčanih sredstava Fonda na dan 31.12.2024. godine.</w:t>
      </w:r>
    </w:p>
    <w:p w:rsidR="005934B2" w:rsidRDefault="005934B2" w:rsidP="00A401F8">
      <w:pPr>
        <w:rPr>
          <w:rFonts w:asciiTheme="minorHAnsi" w:eastAsia="Calibri" w:hAnsiTheme="minorHAnsi"/>
          <w:color w:val="auto"/>
          <w:sz w:val="20"/>
          <w:szCs w:val="20"/>
          <w:lang w:val="sr-Cyrl-RS" w:eastAsia="en-US"/>
        </w:rPr>
      </w:pPr>
    </w:p>
    <w:p w:rsidR="005934B2" w:rsidRPr="005767EF" w:rsidRDefault="005934B2" w:rsidP="00A401F8">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Pregled stanja</w:t>
      </w:r>
      <w:r>
        <w:rPr>
          <w:rFonts w:asciiTheme="minorHAnsi" w:hAnsiTheme="minorHAnsi"/>
          <w:b/>
          <w:sz w:val="20"/>
          <w:szCs w:val="20"/>
          <w:lang w:val="sr-Cyrl-CS" w:eastAsia="sr-Cyrl-CS"/>
        </w:rPr>
        <w:t xml:space="preserve"> i strukture</w:t>
      </w:r>
      <w:r w:rsidRPr="005767EF">
        <w:rPr>
          <w:rFonts w:asciiTheme="minorHAnsi" w:hAnsiTheme="minorHAnsi"/>
          <w:b/>
          <w:sz w:val="20"/>
          <w:szCs w:val="20"/>
          <w:lang w:val="sr-Cyrl-CS" w:eastAsia="sr-Cyrl-CS"/>
        </w:rPr>
        <w:t xml:space="preserve"> slobodnih novčanih sredstava na dan 31.12.202</w:t>
      </w:r>
      <w:r>
        <w:rPr>
          <w:rFonts w:asciiTheme="minorHAnsi" w:hAnsiTheme="minorHAnsi"/>
          <w:b/>
          <w:sz w:val="20"/>
          <w:szCs w:val="20"/>
          <w:lang w:val="sr-Cyrl-CS" w:eastAsia="sr-Cyrl-CS"/>
        </w:rPr>
        <w:t>4</w:t>
      </w:r>
      <w:r w:rsidRPr="005767EF">
        <w:rPr>
          <w:rFonts w:asciiTheme="minorHAnsi" w:hAnsiTheme="minorHAnsi"/>
          <w:b/>
          <w:sz w:val="20"/>
          <w:szCs w:val="20"/>
          <w:lang w:val="sr-Cyrl-CS" w:eastAsia="sr-Cyrl-CS"/>
        </w:rPr>
        <w:t>. godine</w:t>
      </w:r>
    </w:p>
    <w:p w:rsidR="005934B2" w:rsidRPr="005767EF" w:rsidRDefault="005934B2" w:rsidP="00A401F8">
      <w:pPr>
        <w:jc w:val="left"/>
        <w:rPr>
          <w:rFonts w:asciiTheme="minorHAnsi" w:hAnsiTheme="minorHAnsi"/>
          <w:b/>
          <w:sz w:val="20"/>
          <w:szCs w:val="20"/>
          <w:lang w:val="sr-Cyrl-CS" w:eastAsia="sr-Cyrl-CS"/>
        </w:rPr>
      </w:pPr>
    </w:p>
    <w:p w:rsidR="005934B2" w:rsidRPr="005767EF" w:rsidRDefault="005934B2" w:rsidP="00A401F8">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sr-Cyrl-BA" w:eastAsia="en-US"/>
        </w:rPr>
        <w:t xml:space="preserve">         </w:t>
      </w:r>
      <w:r>
        <w:rPr>
          <w:rFonts w:asciiTheme="minorHAnsi" w:eastAsia="Calibri" w:hAnsiTheme="minorHAnsi"/>
          <w:color w:val="auto"/>
          <w:sz w:val="20"/>
          <w:szCs w:val="20"/>
          <w:lang w:val="sr-Cyrl-BA" w:eastAsia="en-US"/>
        </w:rPr>
        <w:t xml:space="preserve">    </w:t>
      </w:r>
      <w:r w:rsidRPr="005767EF">
        <w:rPr>
          <w:rFonts w:asciiTheme="minorHAnsi" w:eastAsia="Calibri" w:hAnsiTheme="minorHAnsi"/>
          <w:color w:val="auto"/>
          <w:sz w:val="20"/>
          <w:szCs w:val="20"/>
          <w:lang w:val="sr-Cyrl-BA" w:eastAsia="en-US"/>
        </w:rPr>
        <w:t xml:space="preserve">     </w:t>
      </w:r>
      <w:r>
        <w:rPr>
          <w:rFonts w:asciiTheme="minorHAnsi" w:eastAsia="Calibri" w:hAnsiTheme="minorHAnsi"/>
          <w:b/>
          <w:color w:val="auto"/>
          <w:sz w:val="20"/>
          <w:szCs w:val="20"/>
          <w:lang w:val="sr-Cyrl-BA" w:eastAsia="en-US"/>
        </w:rPr>
        <w:t>Tabela 22</w:t>
      </w:r>
    </w:p>
    <w:tbl>
      <w:tblPr>
        <w:tblW w:w="8804" w:type="dxa"/>
        <w:tblInd w:w="93" w:type="dxa"/>
        <w:tblLook w:val="04A0" w:firstRow="1" w:lastRow="0" w:firstColumn="1" w:lastColumn="0" w:noHBand="0" w:noVBand="1"/>
      </w:tblPr>
      <w:tblGrid>
        <w:gridCol w:w="2740"/>
        <w:gridCol w:w="1670"/>
        <w:gridCol w:w="1701"/>
        <w:gridCol w:w="1134"/>
        <w:gridCol w:w="1559"/>
      </w:tblGrid>
      <w:tr w:rsidR="005934B2" w:rsidRPr="00D36A7E" w:rsidTr="000366C5">
        <w:trPr>
          <w:trHeight w:val="510"/>
        </w:trPr>
        <w:tc>
          <w:tcPr>
            <w:tcW w:w="2740" w:type="dxa"/>
            <w:tcBorders>
              <w:top w:val="single" w:sz="4" w:space="0" w:color="auto"/>
              <w:left w:val="single" w:sz="4" w:space="0" w:color="auto"/>
              <w:bottom w:val="single" w:sz="4" w:space="0" w:color="auto"/>
              <w:right w:val="single" w:sz="4" w:space="0" w:color="auto"/>
            </w:tcBorders>
            <w:shd w:val="clear" w:color="000000" w:fill="8DB3E2"/>
            <w:noWrap/>
            <w:vAlign w:val="center"/>
            <w:hideMark/>
          </w:tcPr>
          <w:p w:rsidR="005934B2" w:rsidRPr="00D36A7E" w:rsidRDefault="005934B2" w:rsidP="000366C5">
            <w:pPr>
              <w:jc w:val="center"/>
              <w:rPr>
                <w:rFonts w:ascii="Calibri" w:hAnsi="Calibri"/>
                <w:b/>
                <w:bCs/>
                <w:sz w:val="20"/>
                <w:szCs w:val="20"/>
              </w:rPr>
            </w:pPr>
            <w:r w:rsidRPr="00D36A7E">
              <w:rPr>
                <w:rFonts w:ascii="Calibri" w:hAnsi="Calibri"/>
                <w:b/>
                <w:bCs/>
                <w:sz w:val="20"/>
                <w:szCs w:val="20"/>
              </w:rPr>
              <w:t xml:space="preserve">Vrsta plasmana </w:t>
            </w:r>
          </w:p>
        </w:tc>
        <w:tc>
          <w:tcPr>
            <w:tcW w:w="1670" w:type="dxa"/>
            <w:tcBorders>
              <w:top w:val="single" w:sz="4" w:space="0" w:color="auto"/>
              <w:left w:val="nil"/>
              <w:bottom w:val="single" w:sz="4" w:space="0" w:color="auto"/>
              <w:right w:val="single" w:sz="4" w:space="0" w:color="auto"/>
            </w:tcBorders>
            <w:shd w:val="clear" w:color="000000" w:fill="8DB3E2"/>
            <w:vAlign w:val="center"/>
            <w:hideMark/>
          </w:tcPr>
          <w:p w:rsidR="005934B2" w:rsidRPr="00D36A7E" w:rsidRDefault="005934B2" w:rsidP="000366C5">
            <w:pPr>
              <w:jc w:val="center"/>
              <w:rPr>
                <w:rFonts w:ascii="Calibri" w:hAnsi="Calibri"/>
                <w:b/>
                <w:bCs/>
                <w:sz w:val="20"/>
                <w:szCs w:val="20"/>
              </w:rPr>
            </w:pPr>
            <w:r w:rsidRPr="00D36A7E">
              <w:rPr>
                <w:rFonts w:ascii="Calibri" w:hAnsi="Calibri"/>
                <w:b/>
                <w:bCs/>
                <w:sz w:val="20"/>
                <w:szCs w:val="20"/>
              </w:rPr>
              <w:t>Stanje na dan 31.12.2023.</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5934B2" w:rsidRPr="00D36A7E" w:rsidRDefault="005934B2" w:rsidP="000366C5">
            <w:pPr>
              <w:jc w:val="center"/>
              <w:rPr>
                <w:rFonts w:ascii="Calibri" w:hAnsi="Calibri"/>
                <w:b/>
                <w:bCs/>
                <w:sz w:val="20"/>
                <w:szCs w:val="20"/>
              </w:rPr>
            </w:pPr>
            <w:r w:rsidRPr="00D36A7E">
              <w:rPr>
                <w:rFonts w:ascii="Calibri" w:hAnsi="Calibri"/>
                <w:b/>
                <w:bCs/>
                <w:sz w:val="20"/>
                <w:szCs w:val="20"/>
              </w:rPr>
              <w:t>Stanje na dan 31.12.2024.</w:t>
            </w:r>
          </w:p>
        </w:tc>
        <w:tc>
          <w:tcPr>
            <w:tcW w:w="1134" w:type="dxa"/>
            <w:tcBorders>
              <w:top w:val="single" w:sz="4" w:space="0" w:color="auto"/>
              <w:left w:val="nil"/>
              <w:bottom w:val="single" w:sz="4" w:space="0" w:color="auto"/>
              <w:right w:val="single" w:sz="4" w:space="0" w:color="auto"/>
            </w:tcBorders>
            <w:shd w:val="clear" w:color="000000" w:fill="8DB3E2"/>
            <w:vAlign w:val="center"/>
            <w:hideMark/>
          </w:tcPr>
          <w:p w:rsidR="005934B2" w:rsidRPr="00D36A7E" w:rsidRDefault="005934B2" w:rsidP="000366C5">
            <w:pPr>
              <w:jc w:val="center"/>
              <w:rPr>
                <w:rFonts w:ascii="Calibri" w:hAnsi="Calibri"/>
                <w:b/>
                <w:bCs/>
                <w:sz w:val="20"/>
                <w:szCs w:val="20"/>
              </w:rPr>
            </w:pPr>
            <w:r w:rsidRPr="00D36A7E">
              <w:rPr>
                <w:rFonts w:ascii="Calibri" w:hAnsi="Calibri"/>
                <w:b/>
                <w:bCs/>
                <w:sz w:val="20"/>
                <w:szCs w:val="20"/>
              </w:rPr>
              <w:t xml:space="preserve">Indeks </w:t>
            </w:r>
          </w:p>
        </w:tc>
        <w:tc>
          <w:tcPr>
            <w:tcW w:w="1559" w:type="dxa"/>
            <w:tcBorders>
              <w:top w:val="single" w:sz="4" w:space="0" w:color="auto"/>
              <w:left w:val="nil"/>
              <w:bottom w:val="single" w:sz="4" w:space="0" w:color="auto"/>
              <w:right w:val="single" w:sz="4" w:space="0" w:color="auto"/>
            </w:tcBorders>
            <w:shd w:val="clear" w:color="000000" w:fill="8DB3E2"/>
            <w:vAlign w:val="center"/>
            <w:hideMark/>
          </w:tcPr>
          <w:p w:rsidR="005934B2" w:rsidRPr="00D36A7E" w:rsidRDefault="005934B2" w:rsidP="000366C5">
            <w:pPr>
              <w:jc w:val="center"/>
              <w:rPr>
                <w:rFonts w:ascii="Calibri" w:hAnsi="Calibri"/>
                <w:b/>
                <w:bCs/>
                <w:sz w:val="20"/>
                <w:szCs w:val="20"/>
              </w:rPr>
            </w:pPr>
            <w:r w:rsidRPr="00D36A7E">
              <w:rPr>
                <w:rFonts w:ascii="Calibri" w:hAnsi="Calibri"/>
                <w:b/>
                <w:bCs/>
                <w:sz w:val="20"/>
                <w:szCs w:val="20"/>
              </w:rPr>
              <w:t>Struktura</w:t>
            </w:r>
          </w:p>
        </w:tc>
      </w:tr>
      <w:tr w:rsidR="005934B2" w:rsidRPr="00D36A7E" w:rsidTr="000366C5">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5934B2" w:rsidRPr="00D36A7E" w:rsidRDefault="005934B2" w:rsidP="000366C5">
            <w:pPr>
              <w:jc w:val="left"/>
              <w:rPr>
                <w:rFonts w:ascii="Calibri" w:hAnsi="Calibri"/>
                <w:sz w:val="20"/>
                <w:szCs w:val="20"/>
              </w:rPr>
            </w:pPr>
            <w:r w:rsidRPr="00D36A7E">
              <w:rPr>
                <w:rFonts w:ascii="Calibri" w:hAnsi="Calibri"/>
                <w:sz w:val="20"/>
                <w:szCs w:val="20"/>
              </w:rPr>
              <w:t>Žiro računi Fonda</w:t>
            </w:r>
          </w:p>
        </w:tc>
        <w:tc>
          <w:tcPr>
            <w:tcW w:w="1670"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853.712,34</w:t>
            </w:r>
          </w:p>
        </w:tc>
        <w:tc>
          <w:tcPr>
            <w:tcW w:w="1701"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715.799,04</w:t>
            </w:r>
          </w:p>
        </w:tc>
        <w:tc>
          <w:tcPr>
            <w:tcW w:w="1134"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83,85</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4,95%</w:t>
            </w:r>
          </w:p>
        </w:tc>
      </w:tr>
      <w:tr w:rsidR="005934B2" w:rsidRPr="00D36A7E" w:rsidTr="000366C5">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5934B2" w:rsidRPr="00D36A7E" w:rsidRDefault="005934B2" w:rsidP="000366C5">
            <w:pPr>
              <w:jc w:val="left"/>
              <w:rPr>
                <w:rFonts w:ascii="Calibri" w:hAnsi="Calibri"/>
                <w:sz w:val="20"/>
                <w:szCs w:val="20"/>
              </w:rPr>
            </w:pPr>
            <w:r w:rsidRPr="00D36A7E">
              <w:rPr>
                <w:rFonts w:ascii="Calibri" w:hAnsi="Calibri"/>
                <w:sz w:val="20"/>
                <w:szCs w:val="20"/>
                <w:lang w:val="sr-Cyrl-BA"/>
              </w:rPr>
              <w:t>Oročena štednja</w:t>
            </w:r>
          </w:p>
        </w:tc>
        <w:tc>
          <w:tcPr>
            <w:tcW w:w="1670"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100.000,00</w:t>
            </w:r>
          </w:p>
        </w:tc>
        <w:tc>
          <w:tcPr>
            <w:tcW w:w="1701"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0,00%</w:t>
            </w:r>
          </w:p>
        </w:tc>
      </w:tr>
      <w:tr w:rsidR="005934B2" w:rsidRPr="00D36A7E" w:rsidTr="000366C5">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5934B2" w:rsidRPr="00D36A7E" w:rsidRDefault="005934B2" w:rsidP="000366C5">
            <w:pPr>
              <w:jc w:val="left"/>
              <w:rPr>
                <w:rFonts w:ascii="Calibri" w:hAnsi="Calibri"/>
                <w:sz w:val="20"/>
                <w:szCs w:val="20"/>
              </w:rPr>
            </w:pPr>
            <w:r w:rsidRPr="00D36A7E">
              <w:rPr>
                <w:rFonts w:ascii="Calibri" w:hAnsi="Calibri"/>
                <w:sz w:val="20"/>
                <w:szCs w:val="20"/>
              </w:rPr>
              <w:t>Ulaganja u dužničke HOV</w:t>
            </w:r>
          </w:p>
        </w:tc>
        <w:tc>
          <w:tcPr>
            <w:tcW w:w="1670"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11.506.846,34</w:t>
            </w:r>
          </w:p>
        </w:tc>
        <w:tc>
          <w:tcPr>
            <w:tcW w:w="1701"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color w:val="auto"/>
                <w:sz w:val="20"/>
                <w:szCs w:val="20"/>
              </w:rPr>
            </w:pPr>
            <w:r w:rsidRPr="00D36A7E">
              <w:rPr>
                <w:rFonts w:ascii="Calibri" w:hAnsi="Calibri"/>
                <w:color w:val="auto"/>
                <w:sz w:val="20"/>
                <w:szCs w:val="20"/>
              </w:rPr>
              <w:t>8.058.536,51</w:t>
            </w:r>
          </w:p>
        </w:tc>
        <w:tc>
          <w:tcPr>
            <w:tcW w:w="1134"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70,03</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55,70%</w:t>
            </w:r>
          </w:p>
        </w:tc>
      </w:tr>
      <w:tr w:rsidR="005934B2" w:rsidRPr="00D36A7E" w:rsidTr="000366C5">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5934B2" w:rsidRPr="00D36A7E" w:rsidRDefault="005934B2" w:rsidP="000366C5">
            <w:pPr>
              <w:jc w:val="left"/>
              <w:rPr>
                <w:rFonts w:ascii="Calibri" w:hAnsi="Calibri"/>
                <w:sz w:val="20"/>
                <w:szCs w:val="20"/>
              </w:rPr>
            </w:pPr>
            <w:r w:rsidRPr="00D36A7E">
              <w:rPr>
                <w:rFonts w:ascii="Calibri" w:hAnsi="Calibri"/>
                <w:sz w:val="20"/>
                <w:szCs w:val="20"/>
              </w:rPr>
              <w:t>Udjeli</w:t>
            </w:r>
          </w:p>
        </w:tc>
        <w:tc>
          <w:tcPr>
            <w:tcW w:w="1670"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0,00</w:t>
            </w:r>
          </w:p>
        </w:tc>
        <w:tc>
          <w:tcPr>
            <w:tcW w:w="1701"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126.787,43</w:t>
            </w:r>
          </w:p>
        </w:tc>
        <w:tc>
          <w:tcPr>
            <w:tcW w:w="1134"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0,88%</w:t>
            </w:r>
          </w:p>
        </w:tc>
      </w:tr>
      <w:tr w:rsidR="005934B2" w:rsidRPr="00D36A7E" w:rsidTr="000366C5">
        <w:trPr>
          <w:trHeight w:val="315"/>
        </w:trPr>
        <w:tc>
          <w:tcPr>
            <w:tcW w:w="2740" w:type="dxa"/>
            <w:tcBorders>
              <w:top w:val="nil"/>
              <w:left w:val="single" w:sz="4" w:space="0" w:color="auto"/>
              <w:bottom w:val="single" w:sz="4" w:space="0" w:color="auto"/>
              <w:right w:val="single" w:sz="4" w:space="0" w:color="auto"/>
            </w:tcBorders>
            <w:shd w:val="clear" w:color="auto" w:fill="auto"/>
            <w:noWrap/>
            <w:vAlign w:val="center"/>
            <w:hideMark/>
          </w:tcPr>
          <w:p w:rsidR="005934B2" w:rsidRPr="00D36A7E" w:rsidRDefault="005934B2" w:rsidP="000366C5">
            <w:pPr>
              <w:jc w:val="left"/>
              <w:rPr>
                <w:rFonts w:ascii="Calibri" w:hAnsi="Calibri"/>
                <w:sz w:val="20"/>
                <w:szCs w:val="20"/>
              </w:rPr>
            </w:pPr>
            <w:r w:rsidRPr="00D36A7E">
              <w:rPr>
                <w:rFonts w:ascii="Calibri" w:hAnsi="Calibri"/>
                <w:sz w:val="20"/>
                <w:szCs w:val="20"/>
              </w:rPr>
              <w:t xml:space="preserve">Ostali plasmani </w:t>
            </w:r>
          </w:p>
        </w:tc>
        <w:tc>
          <w:tcPr>
            <w:tcW w:w="1670"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7.216.790,89</w:t>
            </w:r>
          </w:p>
        </w:tc>
        <w:tc>
          <w:tcPr>
            <w:tcW w:w="1701"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5.565.460,56</w:t>
            </w:r>
          </w:p>
        </w:tc>
        <w:tc>
          <w:tcPr>
            <w:tcW w:w="1134" w:type="dxa"/>
            <w:tcBorders>
              <w:top w:val="nil"/>
              <w:left w:val="nil"/>
              <w:bottom w:val="single" w:sz="4" w:space="0" w:color="auto"/>
              <w:right w:val="single" w:sz="4" w:space="0" w:color="auto"/>
            </w:tcBorders>
            <w:shd w:val="clear" w:color="auto" w:fill="auto"/>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lang w:val="sr-Cyrl-BA"/>
              </w:rPr>
              <w:t>77,12</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D36A7E" w:rsidRDefault="005934B2" w:rsidP="000366C5">
            <w:pPr>
              <w:jc w:val="right"/>
              <w:rPr>
                <w:rFonts w:ascii="Calibri" w:hAnsi="Calibri"/>
                <w:sz w:val="20"/>
                <w:szCs w:val="20"/>
              </w:rPr>
            </w:pPr>
            <w:r w:rsidRPr="00D36A7E">
              <w:rPr>
                <w:rFonts w:ascii="Calibri" w:hAnsi="Calibri"/>
                <w:sz w:val="20"/>
                <w:szCs w:val="20"/>
              </w:rPr>
              <w:t>38,47%</w:t>
            </w:r>
          </w:p>
        </w:tc>
      </w:tr>
      <w:tr w:rsidR="005934B2" w:rsidRPr="00D36A7E" w:rsidTr="000366C5">
        <w:trPr>
          <w:trHeight w:val="315"/>
        </w:trPr>
        <w:tc>
          <w:tcPr>
            <w:tcW w:w="2740" w:type="dxa"/>
            <w:tcBorders>
              <w:top w:val="nil"/>
              <w:left w:val="single" w:sz="4" w:space="0" w:color="auto"/>
              <w:bottom w:val="single" w:sz="4" w:space="0" w:color="auto"/>
              <w:right w:val="single" w:sz="4" w:space="0" w:color="auto"/>
            </w:tcBorders>
            <w:shd w:val="clear" w:color="000000" w:fill="8DB3E2"/>
            <w:noWrap/>
            <w:vAlign w:val="center"/>
            <w:hideMark/>
          </w:tcPr>
          <w:p w:rsidR="005934B2" w:rsidRPr="00D36A7E" w:rsidRDefault="005934B2" w:rsidP="000366C5">
            <w:pPr>
              <w:jc w:val="left"/>
              <w:rPr>
                <w:rFonts w:ascii="Calibri" w:hAnsi="Calibri"/>
                <w:b/>
                <w:bCs/>
                <w:sz w:val="20"/>
                <w:szCs w:val="20"/>
              </w:rPr>
            </w:pPr>
            <w:r w:rsidRPr="00D36A7E">
              <w:rPr>
                <w:rFonts w:ascii="Calibri" w:hAnsi="Calibri"/>
                <w:b/>
                <w:bCs/>
                <w:sz w:val="20"/>
                <w:szCs w:val="20"/>
                <w:lang w:val="sr-Cyrl-BA"/>
              </w:rPr>
              <w:t xml:space="preserve">Sveukupno </w:t>
            </w:r>
          </w:p>
        </w:tc>
        <w:tc>
          <w:tcPr>
            <w:tcW w:w="1670" w:type="dxa"/>
            <w:tcBorders>
              <w:top w:val="nil"/>
              <w:left w:val="nil"/>
              <w:bottom w:val="single" w:sz="4" w:space="0" w:color="auto"/>
              <w:right w:val="single" w:sz="4" w:space="0" w:color="auto"/>
            </w:tcBorders>
            <w:shd w:val="clear" w:color="000000" w:fill="8DB3E2"/>
            <w:noWrap/>
            <w:vAlign w:val="center"/>
            <w:hideMark/>
          </w:tcPr>
          <w:p w:rsidR="005934B2" w:rsidRPr="00D36A7E" w:rsidRDefault="005934B2" w:rsidP="000366C5">
            <w:pPr>
              <w:jc w:val="right"/>
              <w:rPr>
                <w:rFonts w:ascii="Calibri" w:hAnsi="Calibri"/>
                <w:b/>
                <w:bCs/>
                <w:sz w:val="20"/>
                <w:szCs w:val="20"/>
              </w:rPr>
            </w:pPr>
            <w:r w:rsidRPr="00D36A7E">
              <w:rPr>
                <w:rFonts w:ascii="Calibri" w:hAnsi="Calibri"/>
                <w:b/>
                <w:bCs/>
                <w:sz w:val="20"/>
                <w:szCs w:val="20"/>
                <w:lang w:val="sr-Cyrl-BA"/>
              </w:rPr>
              <w:t>19.677.349,57</w:t>
            </w:r>
          </w:p>
        </w:tc>
        <w:tc>
          <w:tcPr>
            <w:tcW w:w="1701" w:type="dxa"/>
            <w:tcBorders>
              <w:top w:val="nil"/>
              <w:left w:val="nil"/>
              <w:bottom w:val="single" w:sz="4" w:space="0" w:color="auto"/>
              <w:right w:val="single" w:sz="4" w:space="0" w:color="auto"/>
            </w:tcBorders>
            <w:shd w:val="clear" w:color="000000" w:fill="8DB3E2"/>
            <w:noWrap/>
            <w:vAlign w:val="center"/>
            <w:hideMark/>
          </w:tcPr>
          <w:p w:rsidR="005934B2" w:rsidRPr="00D36A7E" w:rsidRDefault="005934B2" w:rsidP="000366C5">
            <w:pPr>
              <w:jc w:val="right"/>
              <w:rPr>
                <w:rFonts w:ascii="Calibri" w:hAnsi="Calibri"/>
                <w:b/>
                <w:bCs/>
                <w:sz w:val="20"/>
                <w:szCs w:val="20"/>
              </w:rPr>
            </w:pPr>
            <w:r w:rsidRPr="00D36A7E">
              <w:rPr>
                <w:rFonts w:ascii="Calibri" w:hAnsi="Calibri"/>
                <w:b/>
                <w:bCs/>
                <w:sz w:val="20"/>
                <w:szCs w:val="20"/>
              </w:rPr>
              <w:t>14.466.583,54</w:t>
            </w:r>
          </w:p>
        </w:tc>
        <w:tc>
          <w:tcPr>
            <w:tcW w:w="1134" w:type="dxa"/>
            <w:tcBorders>
              <w:top w:val="nil"/>
              <w:left w:val="nil"/>
              <w:bottom w:val="single" w:sz="4" w:space="0" w:color="auto"/>
              <w:right w:val="single" w:sz="4" w:space="0" w:color="auto"/>
            </w:tcBorders>
            <w:shd w:val="clear" w:color="000000" w:fill="8DB4E2"/>
            <w:vAlign w:val="center"/>
            <w:hideMark/>
          </w:tcPr>
          <w:p w:rsidR="005934B2" w:rsidRPr="00D36A7E" w:rsidRDefault="005934B2" w:rsidP="000366C5">
            <w:pPr>
              <w:jc w:val="right"/>
              <w:rPr>
                <w:rFonts w:ascii="Calibri" w:hAnsi="Calibri"/>
                <w:b/>
                <w:bCs/>
                <w:sz w:val="20"/>
                <w:szCs w:val="20"/>
              </w:rPr>
            </w:pPr>
            <w:r w:rsidRPr="00D36A7E">
              <w:rPr>
                <w:rFonts w:ascii="Calibri" w:hAnsi="Calibri"/>
                <w:b/>
                <w:bCs/>
                <w:sz w:val="20"/>
                <w:szCs w:val="20"/>
                <w:lang w:val="sr-Cyrl-BA"/>
              </w:rPr>
              <w:t>73,52</w:t>
            </w:r>
          </w:p>
        </w:tc>
        <w:tc>
          <w:tcPr>
            <w:tcW w:w="1559" w:type="dxa"/>
            <w:tcBorders>
              <w:top w:val="nil"/>
              <w:left w:val="nil"/>
              <w:bottom w:val="single" w:sz="4" w:space="0" w:color="auto"/>
              <w:right w:val="single" w:sz="4" w:space="0" w:color="auto"/>
            </w:tcBorders>
            <w:shd w:val="clear" w:color="000000" w:fill="8DB4E2"/>
            <w:noWrap/>
            <w:vAlign w:val="center"/>
            <w:hideMark/>
          </w:tcPr>
          <w:p w:rsidR="005934B2" w:rsidRPr="00D36A7E" w:rsidRDefault="005934B2" w:rsidP="000366C5">
            <w:pPr>
              <w:jc w:val="right"/>
              <w:rPr>
                <w:rFonts w:ascii="Calibri" w:hAnsi="Calibri"/>
                <w:b/>
                <w:bCs/>
                <w:sz w:val="20"/>
                <w:szCs w:val="20"/>
              </w:rPr>
            </w:pPr>
            <w:r w:rsidRPr="00D36A7E">
              <w:rPr>
                <w:rFonts w:ascii="Calibri" w:hAnsi="Calibri"/>
                <w:b/>
                <w:bCs/>
                <w:sz w:val="20"/>
                <w:szCs w:val="20"/>
              </w:rPr>
              <w:t>100,00%</w:t>
            </w:r>
          </w:p>
        </w:tc>
      </w:tr>
    </w:tbl>
    <w:p w:rsidR="005934B2" w:rsidRDefault="005934B2" w:rsidP="00A401F8">
      <w:pPr>
        <w:rPr>
          <w:rFonts w:asciiTheme="minorHAnsi" w:eastAsia="Calibri" w:hAnsiTheme="minorHAnsi"/>
          <w:color w:val="auto"/>
          <w:sz w:val="20"/>
          <w:szCs w:val="20"/>
          <w:lang w:val="en-GB" w:eastAsia="en-US"/>
        </w:rPr>
      </w:pPr>
    </w:p>
    <w:p w:rsidR="005934B2" w:rsidRDefault="005934B2" w:rsidP="00A401F8">
      <w:pPr>
        <w:rPr>
          <w:rFonts w:asciiTheme="minorHAnsi" w:eastAsiaTheme="minorHAnsi" w:hAnsiTheme="minorHAnsi"/>
          <w:color w:val="auto"/>
          <w:sz w:val="20"/>
          <w:szCs w:val="20"/>
          <w:lang w:val="sr-Cyrl-RS" w:eastAsia="en-US"/>
        </w:rPr>
      </w:pPr>
      <w:r w:rsidRPr="007259AE">
        <w:rPr>
          <w:rFonts w:asciiTheme="minorHAnsi" w:eastAsia="Calibri" w:hAnsiTheme="minorHAnsi"/>
          <w:color w:val="auto"/>
          <w:sz w:val="20"/>
          <w:szCs w:val="20"/>
          <w:lang w:val="sr-Cyrl-RS" w:eastAsia="en-US"/>
        </w:rPr>
        <w:t>Na dan 31.12.202</w:t>
      </w:r>
      <w:r>
        <w:rPr>
          <w:rFonts w:asciiTheme="minorHAnsi" w:eastAsia="Calibri" w:hAnsiTheme="minorHAnsi"/>
          <w:color w:val="auto"/>
          <w:sz w:val="20"/>
          <w:szCs w:val="20"/>
          <w:lang w:val="sr-Cyrl-RS" w:eastAsia="en-US"/>
        </w:rPr>
        <w:t>4</w:t>
      </w:r>
      <w:r w:rsidRPr="007259AE">
        <w:rPr>
          <w:rFonts w:asciiTheme="minorHAnsi" w:eastAsia="Calibri" w:hAnsiTheme="minorHAnsi"/>
          <w:color w:val="auto"/>
          <w:sz w:val="20"/>
          <w:szCs w:val="20"/>
          <w:lang w:val="sr-Cyrl-RS" w:eastAsia="en-US"/>
        </w:rPr>
        <w:t xml:space="preserve">. godine, sredstva Garantnog fonda na </w:t>
      </w:r>
      <w:r w:rsidRPr="007259AE">
        <w:rPr>
          <w:rFonts w:asciiTheme="minorHAnsi" w:eastAsiaTheme="minorHAnsi" w:hAnsiTheme="minorHAnsi"/>
          <w:color w:val="auto"/>
          <w:sz w:val="20"/>
          <w:szCs w:val="20"/>
          <w:lang w:val="sr-Cyrl-BA" w:eastAsia="en-US"/>
        </w:rPr>
        <w:t xml:space="preserve">žiro računima kod finansijskih posrednika iznose </w:t>
      </w:r>
      <w:r>
        <w:rPr>
          <w:rFonts w:asciiTheme="minorHAnsi" w:eastAsiaTheme="minorHAnsi" w:hAnsiTheme="minorHAnsi"/>
          <w:color w:val="auto"/>
          <w:sz w:val="20"/>
          <w:szCs w:val="20"/>
          <w:lang w:val="sr-Cyrl-BA" w:eastAsia="en-US"/>
        </w:rPr>
        <w:t>715.799,04</w:t>
      </w:r>
      <w:r w:rsidRPr="007259AE">
        <w:rPr>
          <w:rFonts w:asciiTheme="minorHAnsi" w:eastAsiaTheme="minorHAnsi" w:hAnsiTheme="minorHAnsi"/>
          <w:color w:val="auto"/>
          <w:sz w:val="20"/>
          <w:szCs w:val="20"/>
          <w:lang w:val="sr-Cyrl-BA" w:eastAsia="en-US"/>
        </w:rPr>
        <w:t xml:space="preserve"> KM. </w:t>
      </w:r>
      <w:r>
        <w:rPr>
          <w:rFonts w:asciiTheme="minorHAnsi" w:eastAsiaTheme="minorHAnsi" w:hAnsiTheme="minorHAnsi"/>
          <w:color w:val="auto"/>
          <w:sz w:val="20"/>
          <w:szCs w:val="20"/>
          <w:lang w:val="sr-Cyrl-BA" w:eastAsia="en-US"/>
        </w:rPr>
        <w:t>Od navedenog iznosa, n</w:t>
      </w:r>
      <w:r w:rsidRPr="007259AE">
        <w:rPr>
          <w:rFonts w:asciiTheme="minorHAnsi" w:eastAsiaTheme="minorHAnsi" w:hAnsiTheme="minorHAnsi"/>
          <w:color w:val="auto"/>
          <w:sz w:val="20"/>
          <w:szCs w:val="20"/>
          <w:lang w:val="sr-Cyrl-BA" w:eastAsia="en-US"/>
        </w:rPr>
        <w:t xml:space="preserve">ajveći dio </w:t>
      </w:r>
      <w:r>
        <w:rPr>
          <w:rFonts w:asciiTheme="minorHAnsi" w:eastAsiaTheme="minorHAnsi" w:hAnsiTheme="minorHAnsi"/>
          <w:color w:val="auto"/>
          <w:sz w:val="20"/>
          <w:szCs w:val="20"/>
          <w:lang w:val="sr-Cyrl-BA" w:eastAsia="en-US"/>
        </w:rPr>
        <w:t xml:space="preserve">ili 491.175,06 KM </w:t>
      </w:r>
      <w:r w:rsidRPr="007259AE">
        <w:rPr>
          <w:rFonts w:asciiTheme="minorHAnsi" w:eastAsiaTheme="minorHAnsi" w:hAnsiTheme="minorHAnsi"/>
          <w:color w:val="auto"/>
          <w:sz w:val="20"/>
          <w:szCs w:val="20"/>
          <w:lang w:val="sr-Cyrl-BA" w:eastAsia="en-US"/>
        </w:rPr>
        <w:t xml:space="preserve">se nalazi </w:t>
      </w:r>
      <w:r>
        <w:rPr>
          <w:rFonts w:asciiTheme="minorHAnsi" w:eastAsiaTheme="minorHAnsi" w:hAnsiTheme="minorHAnsi"/>
          <w:color w:val="auto"/>
          <w:sz w:val="20"/>
          <w:szCs w:val="20"/>
          <w:lang w:val="sr-Cyrl-BA" w:eastAsia="en-US"/>
        </w:rPr>
        <w:t xml:space="preserve">na glavnom </w:t>
      </w:r>
      <w:r w:rsidRPr="007259AE">
        <w:rPr>
          <w:rFonts w:asciiTheme="minorHAnsi" w:eastAsiaTheme="minorHAnsi" w:hAnsiTheme="minorHAnsi"/>
          <w:color w:val="auto"/>
          <w:sz w:val="20"/>
          <w:szCs w:val="20"/>
          <w:lang w:val="sr-Cyrl-BA" w:eastAsia="en-US"/>
        </w:rPr>
        <w:t xml:space="preserve">žiro računu kod MF banke a.d. Banja Luka, </w:t>
      </w:r>
      <w:r>
        <w:rPr>
          <w:rFonts w:asciiTheme="minorHAnsi" w:eastAsiaTheme="minorHAnsi" w:hAnsiTheme="minorHAnsi"/>
          <w:color w:val="auto"/>
          <w:sz w:val="20"/>
          <w:szCs w:val="20"/>
          <w:lang w:val="sr-Cyrl-BA" w:eastAsia="en-US"/>
        </w:rPr>
        <w:t xml:space="preserve">preko kojeg se obavlja većina prometa tokom godine. Na računu u </w:t>
      </w:r>
      <w:r>
        <w:rPr>
          <w:rFonts w:asciiTheme="minorHAnsi" w:eastAsiaTheme="minorHAnsi" w:hAnsiTheme="minorHAnsi"/>
          <w:color w:val="auto"/>
          <w:sz w:val="20"/>
          <w:szCs w:val="20"/>
          <w:lang w:eastAsia="en-US"/>
        </w:rPr>
        <w:t>Procredit</w:t>
      </w:r>
      <w:r>
        <w:rPr>
          <w:rFonts w:asciiTheme="minorHAnsi" w:eastAsiaTheme="minorHAnsi" w:hAnsiTheme="minorHAnsi"/>
          <w:color w:val="auto"/>
          <w:sz w:val="20"/>
          <w:szCs w:val="20"/>
          <w:lang w:val="sr-Cyrl-RS" w:eastAsia="en-US"/>
        </w:rPr>
        <w:t xml:space="preserve"> banci se nalazi iznos od 211.532,39 KM, dok sredstva u ostalim bankama imaju zanemarljivo učešće.</w:t>
      </w:r>
    </w:p>
    <w:p w:rsidR="005934B2" w:rsidRPr="002335D6" w:rsidRDefault="005934B2" w:rsidP="00A401F8">
      <w:pPr>
        <w:rPr>
          <w:rFonts w:asciiTheme="minorHAnsi" w:eastAsiaTheme="minorHAnsi" w:hAnsiTheme="minorHAnsi"/>
          <w:color w:val="auto"/>
          <w:sz w:val="20"/>
          <w:szCs w:val="20"/>
          <w:lang w:val="sr-Cyrl-RS" w:eastAsia="en-US"/>
        </w:rPr>
      </w:pPr>
    </w:p>
    <w:p w:rsidR="005934B2" w:rsidRDefault="005934B2" w:rsidP="00A401F8">
      <w:pPr>
        <w:rPr>
          <w:rFonts w:asciiTheme="minorHAnsi" w:hAnsiTheme="minorHAnsi"/>
          <w:color w:val="auto"/>
          <w:sz w:val="20"/>
          <w:szCs w:val="20"/>
          <w:lang w:val="sr-Cyrl-RS"/>
        </w:rPr>
      </w:pPr>
      <w:r w:rsidRPr="00E663D1">
        <w:rPr>
          <w:rFonts w:asciiTheme="minorHAnsi" w:eastAsiaTheme="minorHAnsi" w:hAnsiTheme="minorHAnsi"/>
          <w:color w:val="auto"/>
          <w:sz w:val="20"/>
          <w:szCs w:val="20"/>
          <w:lang w:val="sr-Cyrl-BA" w:eastAsia="en-US"/>
        </w:rPr>
        <w:t>Ostali plasmani u iznosu od 5.</w:t>
      </w:r>
      <w:r>
        <w:rPr>
          <w:rFonts w:asciiTheme="minorHAnsi" w:eastAsiaTheme="minorHAnsi" w:hAnsiTheme="minorHAnsi"/>
          <w:color w:val="auto"/>
          <w:sz w:val="20"/>
          <w:szCs w:val="20"/>
          <w:lang w:val="sr-Cyrl-BA" w:eastAsia="en-US"/>
        </w:rPr>
        <w:t>565.460,56</w:t>
      </w:r>
      <w:r w:rsidRPr="00E663D1">
        <w:rPr>
          <w:rFonts w:asciiTheme="minorHAnsi" w:eastAsiaTheme="minorHAnsi" w:hAnsiTheme="minorHAnsi"/>
          <w:color w:val="auto"/>
          <w:sz w:val="20"/>
          <w:szCs w:val="20"/>
          <w:lang w:val="sr-Cyrl-BA" w:eastAsia="en-US"/>
        </w:rPr>
        <w:t xml:space="preserve"> </w:t>
      </w:r>
      <w:r>
        <w:rPr>
          <w:rFonts w:asciiTheme="minorHAnsi" w:eastAsiaTheme="minorHAnsi" w:hAnsiTheme="minorHAnsi"/>
          <w:color w:val="auto"/>
          <w:sz w:val="20"/>
          <w:szCs w:val="20"/>
          <w:lang w:val="sr-Cyrl-BA" w:eastAsia="en-US"/>
        </w:rPr>
        <w:t xml:space="preserve">KM se odnose </w:t>
      </w:r>
      <w:r w:rsidRPr="00E663D1">
        <w:rPr>
          <w:rFonts w:asciiTheme="minorHAnsi" w:eastAsiaTheme="minorHAnsi" w:hAnsiTheme="minorHAnsi"/>
          <w:color w:val="auto"/>
          <w:sz w:val="20"/>
          <w:szCs w:val="20"/>
          <w:lang w:val="sr-Cyrl-BA" w:eastAsia="en-US"/>
        </w:rPr>
        <w:t xml:space="preserve">na plasmane u Banci Srpske u stečaju i Bobar banci u </w:t>
      </w:r>
      <w:r>
        <w:rPr>
          <w:rFonts w:asciiTheme="minorHAnsi" w:eastAsiaTheme="minorHAnsi" w:hAnsiTheme="minorHAnsi"/>
          <w:color w:val="auto"/>
          <w:sz w:val="20"/>
          <w:szCs w:val="20"/>
          <w:lang w:val="sr-Cyrl-BA" w:eastAsia="en-US"/>
        </w:rPr>
        <w:t>likvidaciji, nakon ispravke</w:t>
      </w:r>
      <w:r w:rsidRPr="00E663D1">
        <w:rPr>
          <w:rFonts w:asciiTheme="minorHAnsi" w:eastAsiaTheme="minorHAnsi" w:hAnsiTheme="minorHAnsi"/>
          <w:color w:val="auto"/>
          <w:sz w:val="20"/>
          <w:szCs w:val="20"/>
          <w:lang w:val="sr-Cyrl-BA" w:eastAsia="en-US"/>
        </w:rPr>
        <w:t xml:space="preserve"> vrijednosti i korekcija po osnovu procjene naplativosti </w:t>
      </w:r>
      <w:r w:rsidRPr="007E076E">
        <w:rPr>
          <w:rFonts w:asciiTheme="minorHAnsi" w:eastAsiaTheme="minorHAnsi" w:hAnsiTheme="minorHAnsi"/>
          <w:color w:val="auto"/>
          <w:sz w:val="20"/>
          <w:szCs w:val="20"/>
          <w:lang w:val="sr-Cyrl-BA" w:eastAsia="en-US"/>
        </w:rPr>
        <w:t xml:space="preserve">potraživanja na dan 31.12.2024. godine. Procijenjena vrijednost potraživanja od Bobar banke iznosi </w:t>
      </w:r>
      <w:r w:rsidRPr="007E076E">
        <w:rPr>
          <w:rFonts w:asciiTheme="minorHAnsi" w:hAnsiTheme="minorHAnsi"/>
          <w:color w:val="auto"/>
          <w:sz w:val="20"/>
          <w:szCs w:val="20"/>
          <w:lang w:val="sr-Cyrl-RS"/>
        </w:rPr>
        <w:t>3.510.872,43 KM</w:t>
      </w:r>
      <w:r w:rsidRPr="007E076E">
        <w:rPr>
          <w:rFonts w:asciiTheme="minorHAnsi" w:hAnsiTheme="minorHAnsi"/>
          <w:sz w:val="20"/>
          <w:szCs w:val="20"/>
          <w:lang w:val="sr-Cyrl-RS"/>
        </w:rPr>
        <w:t xml:space="preserve">, dok je procijenjeni iznos potraživanja od Banke Srpske </w:t>
      </w:r>
      <w:r w:rsidRPr="007E076E">
        <w:rPr>
          <w:rFonts w:asciiTheme="minorHAnsi" w:hAnsiTheme="minorHAnsi"/>
          <w:color w:val="auto"/>
          <w:sz w:val="20"/>
          <w:szCs w:val="20"/>
          <w:lang w:val="sr-Cyrl-RS"/>
        </w:rPr>
        <w:t>2.054.588,13</w:t>
      </w:r>
      <w:r w:rsidRPr="007E076E">
        <w:rPr>
          <w:rFonts w:asciiTheme="minorHAnsi" w:hAnsiTheme="minorHAnsi"/>
          <w:color w:val="auto"/>
          <w:sz w:val="20"/>
          <w:szCs w:val="20"/>
          <w:lang w:val="sr-Latn-CS"/>
        </w:rPr>
        <w:t xml:space="preserve"> KM</w:t>
      </w:r>
      <w:r w:rsidRPr="007E076E">
        <w:rPr>
          <w:rFonts w:asciiTheme="minorHAnsi" w:hAnsiTheme="minorHAnsi"/>
          <w:color w:val="auto"/>
          <w:sz w:val="20"/>
          <w:szCs w:val="20"/>
          <w:lang w:val="sr-Cyrl-RS"/>
        </w:rPr>
        <w:t>.</w:t>
      </w:r>
      <w:r w:rsidRPr="005D3925">
        <w:rPr>
          <w:rFonts w:asciiTheme="minorHAnsi" w:hAnsiTheme="minorHAnsi"/>
          <w:color w:val="auto"/>
          <w:sz w:val="20"/>
          <w:szCs w:val="20"/>
          <w:lang w:val="sr-Cyrl-RS"/>
        </w:rPr>
        <w:t xml:space="preserve"> </w:t>
      </w:r>
    </w:p>
    <w:p w:rsidR="005934B2" w:rsidRPr="007B1F0E" w:rsidRDefault="005934B2" w:rsidP="00A401F8">
      <w:pPr>
        <w:rPr>
          <w:lang w:val="sr-Cyrl-RS"/>
        </w:rPr>
      </w:pPr>
      <w:r>
        <w:rPr>
          <w:rFonts w:asciiTheme="minorHAnsi" w:hAnsiTheme="minorHAnsi"/>
          <w:color w:val="auto"/>
          <w:sz w:val="20"/>
          <w:szCs w:val="20"/>
          <w:lang w:val="sr-Cyrl-RS"/>
        </w:rPr>
        <w:t>Fond je tokom 2024. godine izvršio ulaganje u iznosu od 120.000,00 KM u udjele otvorenog investicionog fonda M</w:t>
      </w:r>
      <w:r>
        <w:rPr>
          <w:rFonts w:asciiTheme="minorHAnsi" w:hAnsiTheme="minorHAnsi"/>
          <w:color w:val="auto"/>
          <w:sz w:val="20"/>
          <w:szCs w:val="20"/>
        </w:rPr>
        <w:t>S Loans</w:t>
      </w:r>
      <w:r>
        <w:rPr>
          <w:rFonts w:asciiTheme="minorHAnsi" w:hAnsiTheme="minorHAnsi"/>
          <w:color w:val="auto"/>
          <w:sz w:val="20"/>
          <w:szCs w:val="20"/>
          <w:lang w:val="sr-Cyrl-RS"/>
        </w:rPr>
        <w:t>, čija vrijednost na dan 31.12.2024. godine iznosi 126.787,43 KM.</w:t>
      </w:r>
    </w:p>
    <w:p w:rsidR="005934B2" w:rsidRDefault="005934B2" w:rsidP="00A401F8">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 xml:space="preserve">Najveći dio slobodnih novčanih sredstava Fonda je uložen u dužničke hartije od vrijednosti čiji su emitenti Republika Srpska, lokalne zajednice, finansijske institucije i privredna društva, uz poštovanje ograničenja definisanih Pravilnikom o ulaganju sredstava. </w:t>
      </w:r>
    </w:p>
    <w:p w:rsidR="005934B2" w:rsidRDefault="005934B2" w:rsidP="00A401F8">
      <w:pPr>
        <w:rPr>
          <w:rFonts w:asciiTheme="minorHAnsi" w:eastAsiaTheme="minorHAnsi" w:hAnsiTheme="minorHAnsi"/>
          <w:color w:val="auto"/>
          <w:sz w:val="20"/>
          <w:szCs w:val="20"/>
          <w:lang w:val="sr-Cyrl-BA" w:eastAsia="en-US"/>
        </w:rPr>
      </w:pPr>
    </w:p>
    <w:p w:rsidR="005934B2" w:rsidRDefault="005934B2" w:rsidP="00A401F8">
      <w:pPr>
        <w:rPr>
          <w:rFonts w:asciiTheme="minorHAnsi" w:eastAsiaTheme="minorHAnsi" w:hAnsiTheme="minorHAnsi"/>
          <w:color w:val="auto"/>
          <w:sz w:val="20"/>
          <w:szCs w:val="20"/>
          <w:lang w:val="sr-Cyrl-BA" w:eastAsia="en-US"/>
        </w:rPr>
      </w:pPr>
      <w:r>
        <w:rPr>
          <w:rFonts w:asciiTheme="minorHAnsi" w:eastAsiaTheme="minorHAnsi" w:hAnsiTheme="minorHAnsi"/>
          <w:color w:val="auto"/>
          <w:sz w:val="20"/>
          <w:szCs w:val="20"/>
          <w:lang w:val="sr-Cyrl-BA" w:eastAsia="en-US"/>
        </w:rPr>
        <w:t>Stanje ulaganja u hartije od vrijednosti na dan 31.12.2024. godine iznosi 8.058.536,51 KM, a detaljniji pregled ovih ulaganja daju tabele u nastavku.</w:t>
      </w:r>
    </w:p>
    <w:p w:rsidR="005934B2" w:rsidRDefault="005934B2" w:rsidP="00A401F8">
      <w:pPr>
        <w:rPr>
          <w:rFonts w:asciiTheme="minorHAnsi" w:eastAsiaTheme="minorHAnsi" w:hAnsiTheme="minorHAnsi"/>
          <w:color w:val="auto"/>
          <w:sz w:val="20"/>
          <w:szCs w:val="20"/>
          <w:lang w:val="sr-Cyrl-BA" w:eastAsia="en-US"/>
        </w:rPr>
      </w:pPr>
    </w:p>
    <w:p w:rsidR="005934B2" w:rsidRPr="00B44D0C" w:rsidRDefault="005934B2" w:rsidP="00A401F8">
      <w:pPr>
        <w:rPr>
          <w:rFonts w:asciiTheme="minorHAnsi" w:eastAsiaTheme="minorHAnsi" w:hAnsiTheme="minorHAnsi"/>
          <w:color w:val="auto"/>
          <w:sz w:val="20"/>
          <w:szCs w:val="20"/>
          <w:lang w:val="sr-Cyrl-BA" w:eastAsia="en-US"/>
        </w:rPr>
      </w:pPr>
    </w:p>
    <w:p w:rsidR="005934B2" w:rsidRDefault="005934B2" w:rsidP="00A401F8">
      <w:pPr>
        <w:jc w:val="center"/>
        <w:rPr>
          <w:rFonts w:asciiTheme="minorHAnsi" w:hAnsiTheme="minorHAnsi"/>
          <w:b/>
          <w:sz w:val="20"/>
          <w:szCs w:val="20"/>
          <w:lang w:val="sr-Cyrl-CS" w:eastAsia="sr-Cyrl-CS"/>
        </w:rPr>
      </w:pPr>
      <w:r w:rsidRPr="005767EF">
        <w:rPr>
          <w:rFonts w:asciiTheme="minorHAnsi" w:hAnsiTheme="minorHAnsi"/>
          <w:b/>
          <w:sz w:val="20"/>
          <w:szCs w:val="20"/>
          <w:lang w:val="sr-Cyrl-CS" w:eastAsia="sr-Cyrl-CS"/>
        </w:rPr>
        <w:t>Pregled stanja hartija od vrijednosti na dan 31.12.202</w:t>
      </w:r>
      <w:r>
        <w:rPr>
          <w:rFonts w:asciiTheme="minorHAnsi" w:hAnsiTheme="minorHAnsi"/>
          <w:b/>
          <w:sz w:val="20"/>
          <w:szCs w:val="20"/>
          <w:lang w:val="sr-Cyrl-CS" w:eastAsia="sr-Cyrl-CS"/>
        </w:rPr>
        <w:t>4</w:t>
      </w:r>
      <w:r w:rsidRPr="005767EF">
        <w:rPr>
          <w:rFonts w:asciiTheme="minorHAnsi" w:hAnsiTheme="minorHAnsi"/>
          <w:b/>
          <w:sz w:val="20"/>
          <w:szCs w:val="20"/>
          <w:lang w:val="sr-Cyrl-CS" w:eastAsia="sr-Cyrl-CS"/>
        </w:rPr>
        <w:t>. godine</w:t>
      </w:r>
      <w:r>
        <w:rPr>
          <w:rFonts w:asciiTheme="minorHAnsi" w:hAnsiTheme="minorHAnsi"/>
          <w:b/>
          <w:sz w:val="20"/>
          <w:szCs w:val="20"/>
          <w:lang w:val="sr-Cyrl-CS" w:eastAsia="sr-Cyrl-CS"/>
        </w:rPr>
        <w:t xml:space="preserve"> po emitentima</w:t>
      </w:r>
    </w:p>
    <w:p w:rsidR="005934B2" w:rsidRPr="005767EF" w:rsidRDefault="005934B2" w:rsidP="00A401F8">
      <w:pPr>
        <w:jc w:val="center"/>
        <w:rPr>
          <w:rFonts w:asciiTheme="minorHAnsi" w:hAnsiTheme="minorHAnsi"/>
          <w:b/>
          <w:sz w:val="20"/>
          <w:szCs w:val="20"/>
          <w:lang w:val="sr-Cyrl-CS" w:eastAsia="sr-Cyrl-CS"/>
        </w:rPr>
      </w:pPr>
    </w:p>
    <w:p w:rsidR="005934B2" w:rsidRPr="004916E6" w:rsidRDefault="005934B2" w:rsidP="00A401F8">
      <w:pPr>
        <w:jc w:val="right"/>
        <w:rPr>
          <w:rFonts w:asciiTheme="minorHAnsi" w:eastAsia="Calibri" w:hAnsiTheme="minorHAnsi"/>
          <w:b/>
          <w:color w:val="auto"/>
          <w:sz w:val="20"/>
          <w:szCs w:val="20"/>
          <w:lang w:val="sr-Cyrl-BA" w:eastAsia="en-US"/>
        </w:rPr>
      </w:pPr>
      <w:r>
        <w:rPr>
          <w:rFonts w:asciiTheme="minorHAnsi" w:eastAsia="Calibri" w:hAnsiTheme="minorHAnsi"/>
          <w:b/>
          <w:color w:val="auto"/>
          <w:sz w:val="20"/>
          <w:szCs w:val="20"/>
          <w:lang w:val="sr-Cyrl-BA" w:eastAsia="en-US"/>
        </w:rPr>
        <w:t>Tabela 23</w:t>
      </w:r>
    </w:p>
    <w:tbl>
      <w:tblPr>
        <w:tblW w:w="8804" w:type="dxa"/>
        <w:tblInd w:w="93" w:type="dxa"/>
        <w:tblLook w:val="04A0" w:firstRow="1" w:lastRow="0" w:firstColumn="1" w:lastColumn="0" w:noHBand="0" w:noVBand="1"/>
      </w:tblPr>
      <w:tblGrid>
        <w:gridCol w:w="2850"/>
        <w:gridCol w:w="1701"/>
        <w:gridCol w:w="1701"/>
        <w:gridCol w:w="1134"/>
        <w:gridCol w:w="1418"/>
      </w:tblGrid>
      <w:tr w:rsidR="005934B2" w:rsidRPr="004916E6" w:rsidTr="000366C5">
        <w:trPr>
          <w:trHeight w:val="765"/>
        </w:trPr>
        <w:tc>
          <w:tcPr>
            <w:tcW w:w="2850"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5934B2" w:rsidRPr="004916E6" w:rsidRDefault="005934B2" w:rsidP="000366C5">
            <w:pPr>
              <w:jc w:val="center"/>
              <w:rPr>
                <w:rFonts w:ascii="Calibri" w:hAnsi="Calibri"/>
                <w:b/>
                <w:bCs/>
                <w:sz w:val="20"/>
                <w:szCs w:val="20"/>
              </w:rPr>
            </w:pPr>
            <w:r w:rsidRPr="004916E6">
              <w:rPr>
                <w:rFonts w:ascii="Calibri" w:hAnsi="Calibri"/>
                <w:b/>
                <w:bCs/>
                <w:sz w:val="20"/>
                <w:szCs w:val="20"/>
                <w:lang w:val="sr-Cyrl-BA"/>
              </w:rPr>
              <w:t>Emitent hartije od vrijednosti</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5934B2" w:rsidRPr="004916E6" w:rsidRDefault="005934B2" w:rsidP="000366C5">
            <w:pPr>
              <w:jc w:val="center"/>
              <w:rPr>
                <w:rFonts w:ascii="Calibri" w:hAnsi="Calibri"/>
                <w:b/>
                <w:bCs/>
                <w:sz w:val="20"/>
                <w:szCs w:val="20"/>
              </w:rPr>
            </w:pPr>
            <w:r w:rsidRPr="004916E6">
              <w:rPr>
                <w:rFonts w:ascii="Calibri" w:hAnsi="Calibri"/>
                <w:b/>
                <w:bCs/>
                <w:sz w:val="20"/>
                <w:szCs w:val="20"/>
              </w:rPr>
              <w:t xml:space="preserve">Stanje na dan 31.12.2023. </w:t>
            </w:r>
          </w:p>
        </w:tc>
        <w:tc>
          <w:tcPr>
            <w:tcW w:w="1701" w:type="dxa"/>
            <w:tcBorders>
              <w:top w:val="single" w:sz="4" w:space="0" w:color="auto"/>
              <w:left w:val="nil"/>
              <w:bottom w:val="single" w:sz="4" w:space="0" w:color="auto"/>
              <w:right w:val="single" w:sz="4" w:space="0" w:color="auto"/>
            </w:tcBorders>
            <w:shd w:val="clear" w:color="000000" w:fill="8DB3E2"/>
            <w:vAlign w:val="center"/>
            <w:hideMark/>
          </w:tcPr>
          <w:p w:rsidR="005934B2" w:rsidRPr="004916E6" w:rsidRDefault="005934B2" w:rsidP="000366C5">
            <w:pPr>
              <w:jc w:val="center"/>
              <w:rPr>
                <w:rFonts w:ascii="Calibri" w:hAnsi="Calibri"/>
                <w:b/>
                <w:bCs/>
                <w:sz w:val="20"/>
                <w:szCs w:val="20"/>
              </w:rPr>
            </w:pPr>
            <w:r w:rsidRPr="004916E6">
              <w:rPr>
                <w:rFonts w:ascii="Calibri" w:hAnsi="Calibri"/>
                <w:b/>
                <w:bCs/>
                <w:sz w:val="20"/>
                <w:szCs w:val="20"/>
              </w:rPr>
              <w:t xml:space="preserve">Stanje na dan 31.12.2024. </w:t>
            </w:r>
          </w:p>
        </w:tc>
        <w:tc>
          <w:tcPr>
            <w:tcW w:w="1134" w:type="dxa"/>
            <w:tcBorders>
              <w:top w:val="single" w:sz="4" w:space="0" w:color="auto"/>
              <w:left w:val="nil"/>
              <w:bottom w:val="single" w:sz="4" w:space="0" w:color="auto"/>
              <w:right w:val="single" w:sz="4" w:space="0" w:color="auto"/>
            </w:tcBorders>
            <w:shd w:val="clear" w:color="000000" w:fill="8DB4E2"/>
            <w:noWrap/>
            <w:vAlign w:val="center"/>
            <w:hideMark/>
          </w:tcPr>
          <w:p w:rsidR="005934B2" w:rsidRPr="004916E6" w:rsidRDefault="005934B2" w:rsidP="000366C5">
            <w:pPr>
              <w:jc w:val="center"/>
              <w:rPr>
                <w:rFonts w:ascii="Calibri" w:hAnsi="Calibri"/>
                <w:b/>
                <w:bCs/>
                <w:sz w:val="20"/>
                <w:szCs w:val="20"/>
              </w:rPr>
            </w:pPr>
            <w:r w:rsidRPr="004916E6">
              <w:rPr>
                <w:rFonts w:ascii="Calibri" w:hAnsi="Calibri"/>
                <w:b/>
                <w:bCs/>
                <w:sz w:val="20"/>
                <w:szCs w:val="20"/>
              </w:rPr>
              <w:t>Indeks</w:t>
            </w:r>
          </w:p>
        </w:tc>
        <w:tc>
          <w:tcPr>
            <w:tcW w:w="1418" w:type="dxa"/>
            <w:tcBorders>
              <w:top w:val="single" w:sz="4" w:space="0" w:color="auto"/>
              <w:left w:val="nil"/>
              <w:bottom w:val="single" w:sz="4" w:space="0" w:color="auto"/>
              <w:right w:val="single" w:sz="4" w:space="0" w:color="auto"/>
            </w:tcBorders>
            <w:shd w:val="clear" w:color="000000" w:fill="8DB4E2"/>
            <w:noWrap/>
            <w:vAlign w:val="center"/>
            <w:hideMark/>
          </w:tcPr>
          <w:p w:rsidR="005934B2" w:rsidRPr="004916E6" w:rsidRDefault="005934B2" w:rsidP="000366C5">
            <w:pPr>
              <w:jc w:val="center"/>
              <w:rPr>
                <w:rFonts w:ascii="Calibri" w:hAnsi="Calibri"/>
                <w:b/>
                <w:bCs/>
                <w:sz w:val="20"/>
                <w:szCs w:val="20"/>
              </w:rPr>
            </w:pPr>
            <w:r w:rsidRPr="004916E6">
              <w:rPr>
                <w:rFonts w:ascii="Calibri" w:hAnsi="Calibri"/>
                <w:b/>
                <w:bCs/>
                <w:sz w:val="20"/>
                <w:szCs w:val="20"/>
              </w:rPr>
              <w:t>Struktura</w:t>
            </w:r>
          </w:p>
        </w:tc>
      </w:tr>
      <w:tr w:rsidR="005934B2" w:rsidRPr="004916E6" w:rsidTr="000366C5">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934B2" w:rsidRPr="004916E6" w:rsidRDefault="005934B2" w:rsidP="000366C5">
            <w:pPr>
              <w:jc w:val="left"/>
              <w:rPr>
                <w:rFonts w:ascii="Calibri" w:hAnsi="Calibri"/>
                <w:sz w:val="20"/>
                <w:szCs w:val="20"/>
              </w:rPr>
            </w:pPr>
            <w:r w:rsidRPr="004916E6">
              <w:rPr>
                <w:rFonts w:ascii="Calibri" w:hAnsi="Calibri"/>
                <w:sz w:val="20"/>
                <w:szCs w:val="20"/>
                <w:lang w:val="sr-Cyrl-BA"/>
              </w:rPr>
              <w:t>Republika Srpska</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color w:val="auto"/>
                <w:sz w:val="20"/>
                <w:szCs w:val="20"/>
              </w:rPr>
            </w:pPr>
            <w:r w:rsidRPr="004916E6">
              <w:rPr>
                <w:rFonts w:ascii="Calibri" w:hAnsi="Calibri"/>
                <w:color w:val="auto"/>
                <w:sz w:val="20"/>
                <w:szCs w:val="20"/>
              </w:rPr>
              <w:t>7.719.400,00</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3.909.860,00</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50,65</w:t>
            </w:r>
          </w:p>
        </w:tc>
        <w:tc>
          <w:tcPr>
            <w:tcW w:w="1418" w:type="dxa"/>
            <w:tcBorders>
              <w:top w:val="nil"/>
              <w:left w:val="nil"/>
              <w:bottom w:val="single" w:sz="4" w:space="0" w:color="auto"/>
              <w:right w:val="single" w:sz="4" w:space="0" w:color="auto"/>
            </w:tcBorders>
            <w:shd w:val="clear" w:color="auto" w:fill="auto"/>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48,52%</w:t>
            </w:r>
          </w:p>
        </w:tc>
      </w:tr>
      <w:tr w:rsidR="005934B2" w:rsidRPr="004916E6" w:rsidTr="000366C5">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934B2" w:rsidRPr="004916E6" w:rsidRDefault="005934B2" w:rsidP="000366C5">
            <w:pPr>
              <w:jc w:val="left"/>
              <w:rPr>
                <w:rFonts w:ascii="Calibri" w:hAnsi="Calibri"/>
                <w:sz w:val="20"/>
                <w:szCs w:val="20"/>
              </w:rPr>
            </w:pPr>
            <w:r w:rsidRPr="004916E6">
              <w:rPr>
                <w:rFonts w:ascii="Calibri" w:hAnsi="Calibri"/>
                <w:sz w:val="20"/>
                <w:szCs w:val="20"/>
                <w:lang w:val="sr-Cyrl-BA"/>
              </w:rPr>
              <w:t>Lokalne zajednice</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color w:val="auto"/>
                <w:sz w:val="20"/>
                <w:szCs w:val="20"/>
              </w:rPr>
            </w:pPr>
            <w:r w:rsidRPr="004916E6">
              <w:rPr>
                <w:rFonts w:ascii="Calibri" w:hAnsi="Calibri"/>
                <w:color w:val="auto"/>
                <w:sz w:val="20"/>
                <w:szCs w:val="20"/>
              </w:rPr>
              <w:t>1.692.542,96</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1.494.122,24</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88,28</w:t>
            </w:r>
          </w:p>
        </w:tc>
        <w:tc>
          <w:tcPr>
            <w:tcW w:w="1418" w:type="dxa"/>
            <w:tcBorders>
              <w:top w:val="nil"/>
              <w:left w:val="nil"/>
              <w:bottom w:val="single" w:sz="4" w:space="0" w:color="auto"/>
              <w:right w:val="single" w:sz="4" w:space="0" w:color="auto"/>
            </w:tcBorders>
            <w:shd w:val="clear" w:color="auto" w:fill="auto"/>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18,54%</w:t>
            </w:r>
          </w:p>
        </w:tc>
      </w:tr>
      <w:tr w:rsidR="005934B2" w:rsidRPr="004916E6" w:rsidTr="000366C5">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934B2" w:rsidRPr="004916E6" w:rsidRDefault="005934B2" w:rsidP="000366C5">
            <w:pPr>
              <w:jc w:val="left"/>
              <w:rPr>
                <w:rFonts w:ascii="Calibri" w:hAnsi="Calibri"/>
                <w:sz w:val="20"/>
                <w:szCs w:val="20"/>
              </w:rPr>
            </w:pPr>
            <w:r w:rsidRPr="004916E6">
              <w:rPr>
                <w:rFonts w:ascii="Calibri" w:hAnsi="Calibri"/>
                <w:sz w:val="20"/>
                <w:szCs w:val="20"/>
                <w:lang w:val="sr-Cyrl-BA"/>
              </w:rPr>
              <w:t>Finansijske institucije</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color w:val="auto"/>
                <w:sz w:val="20"/>
                <w:szCs w:val="20"/>
              </w:rPr>
            </w:pPr>
            <w:r w:rsidRPr="004916E6">
              <w:rPr>
                <w:rFonts w:ascii="Calibri" w:hAnsi="Calibri"/>
                <w:color w:val="auto"/>
                <w:sz w:val="20"/>
                <w:szCs w:val="20"/>
              </w:rPr>
              <w:t>1.770.202,27</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color w:val="auto"/>
                <w:sz w:val="20"/>
                <w:szCs w:val="20"/>
              </w:rPr>
            </w:pPr>
            <w:r w:rsidRPr="004916E6">
              <w:rPr>
                <w:rFonts w:ascii="Calibri" w:hAnsi="Calibri"/>
                <w:color w:val="auto"/>
                <w:sz w:val="20"/>
                <w:szCs w:val="20"/>
              </w:rPr>
              <w:t>2.362.820,36</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133,48</w:t>
            </w:r>
          </w:p>
        </w:tc>
        <w:tc>
          <w:tcPr>
            <w:tcW w:w="1418" w:type="dxa"/>
            <w:tcBorders>
              <w:top w:val="nil"/>
              <w:left w:val="nil"/>
              <w:bottom w:val="single" w:sz="4" w:space="0" w:color="auto"/>
              <w:right w:val="single" w:sz="4" w:space="0" w:color="auto"/>
            </w:tcBorders>
            <w:shd w:val="clear" w:color="auto" w:fill="auto"/>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29,32%</w:t>
            </w:r>
          </w:p>
        </w:tc>
      </w:tr>
      <w:tr w:rsidR="005934B2" w:rsidRPr="004916E6" w:rsidTr="000366C5">
        <w:trPr>
          <w:trHeight w:val="51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5934B2" w:rsidRPr="004916E6" w:rsidRDefault="005934B2" w:rsidP="000366C5">
            <w:pPr>
              <w:jc w:val="left"/>
              <w:rPr>
                <w:rFonts w:ascii="Calibri" w:hAnsi="Calibri"/>
                <w:sz w:val="20"/>
                <w:szCs w:val="20"/>
              </w:rPr>
            </w:pPr>
            <w:r w:rsidRPr="004916E6">
              <w:rPr>
                <w:rFonts w:ascii="Calibri" w:hAnsi="Calibri"/>
                <w:sz w:val="20"/>
                <w:szCs w:val="20"/>
                <w:lang w:val="sr-Cyrl-BA"/>
              </w:rPr>
              <w:t>Privredna društva</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color w:val="auto"/>
                <w:sz w:val="20"/>
                <w:szCs w:val="20"/>
              </w:rPr>
            </w:pPr>
            <w:r w:rsidRPr="004916E6">
              <w:rPr>
                <w:rFonts w:ascii="Calibri" w:hAnsi="Calibri"/>
                <w:color w:val="auto"/>
                <w:sz w:val="20"/>
                <w:szCs w:val="20"/>
              </w:rPr>
              <w:t>329.951,11</w:t>
            </w:r>
          </w:p>
        </w:tc>
        <w:tc>
          <w:tcPr>
            <w:tcW w:w="1701"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color w:val="auto"/>
                <w:sz w:val="20"/>
                <w:szCs w:val="20"/>
              </w:rPr>
            </w:pPr>
            <w:r w:rsidRPr="004916E6">
              <w:rPr>
                <w:rFonts w:ascii="Calibri" w:hAnsi="Calibri"/>
                <w:color w:val="auto"/>
                <w:sz w:val="20"/>
                <w:szCs w:val="20"/>
              </w:rPr>
              <w:t>291.733,91</w:t>
            </w:r>
          </w:p>
        </w:tc>
        <w:tc>
          <w:tcPr>
            <w:tcW w:w="1134" w:type="dxa"/>
            <w:tcBorders>
              <w:top w:val="nil"/>
              <w:left w:val="nil"/>
              <w:bottom w:val="single" w:sz="4" w:space="0" w:color="auto"/>
              <w:right w:val="single" w:sz="4" w:space="0" w:color="auto"/>
            </w:tcBorders>
            <w:shd w:val="clear" w:color="auto" w:fill="auto"/>
            <w:noWrap/>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88,42</w:t>
            </w:r>
          </w:p>
        </w:tc>
        <w:tc>
          <w:tcPr>
            <w:tcW w:w="1418" w:type="dxa"/>
            <w:tcBorders>
              <w:top w:val="nil"/>
              <w:left w:val="nil"/>
              <w:bottom w:val="single" w:sz="4" w:space="0" w:color="auto"/>
              <w:right w:val="single" w:sz="4" w:space="0" w:color="auto"/>
            </w:tcBorders>
            <w:shd w:val="clear" w:color="auto" w:fill="auto"/>
            <w:vAlign w:val="center"/>
            <w:hideMark/>
          </w:tcPr>
          <w:p w:rsidR="005934B2" w:rsidRPr="004916E6" w:rsidRDefault="005934B2" w:rsidP="000366C5">
            <w:pPr>
              <w:jc w:val="right"/>
              <w:rPr>
                <w:rFonts w:ascii="Calibri" w:hAnsi="Calibri"/>
                <w:sz w:val="20"/>
                <w:szCs w:val="20"/>
              </w:rPr>
            </w:pPr>
            <w:r w:rsidRPr="004916E6">
              <w:rPr>
                <w:rFonts w:ascii="Calibri" w:hAnsi="Calibri"/>
                <w:sz w:val="20"/>
                <w:szCs w:val="20"/>
              </w:rPr>
              <w:t>3,62%</w:t>
            </w:r>
          </w:p>
        </w:tc>
      </w:tr>
      <w:tr w:rsidR="005934B2" w:rsidRPr="004916E6" w:rsidTr="000366C5">
        <w:trPr>
          <w:trHeight w:val="315"/>
        </w:trPr>
        <w:tc>
          <w:tcPr>
            <w:tcW w:w="2850" w:type="dxa"/>
            <w:tcBorders>
              <w:top w:val="nil"/>
              <w:left w:val="single" w:sz="4" w:space="0" w:color="auto"/>
              <w:bottom w:val="single" w:sz="4" w:space="0" w:color="auto"/>
              <w:right w:val="single" w:sz="4" w:space="0" w:color="auto"/>
            </w:tcBorders>
            <w:shd w:val="clear" w:color="000000" w:fill="8DB3E2"/>
            <w:vAlign w:val="center"/>
            <w:hideMark/>
          </w:tcPr>
          <w:p w:rsidR="005934B2" w:rsidRPr="004916E6" w:rsidRDefault="005934B2" w:rsidP="000366C5">
            <w:pPr>
              <w:jc w:val="left"/>
              <w:rPr>
                <w:rFonts w:ascii="Calibri" w:hAnsi="Calibri"/>
                <w:b/>
                <w:bCs/>
                <w:sz w:val="20"/>
                <w:szCs w:val="20"/>
              </w:rPr>
            </w:pPr>
            <w:r w:rsidRPr="004916E6">
              <w:rPr>
                <w:rFonts w:ascii="Calibri" w:hAnsi="Calibri"/>
                <w:b/>
                <w:bCs/>
                <w:sz w:val="20"/>
                <w:szCs w:val="20"/>
                <w:lang w:val="sr-Cyrl-BA"/>
              </w:rPr>
              <w:t xml:space="preserve">UKUPNO </w:t>
            </w:r>
          </w:p>
        </w:tc>
        <w:tc>
          <w:tcPr>
            <w:tcW w:w="1701" w:type="dxa"/>
            <w:tcBorders>
              <w:top w:val="nil"/>
              <w:left w:val="nil"/>
              <w:bottom w:val="single" w:sz="4" w:space="0" w:color="auto"/>
              <w:right w:val="single" w:sz="4" w:space="0" w:color="auto"/>
            </w:tcBorders>
            <w:shd w:val="clear" w:color="000000" w:fill="8DB3E2"/>
            <w:noWrap/>
            <w:vAlign w:val="center"/>
            <w:hideMark/>
          </w:tcPr>
          <w:p w:rsidR="005934B2" w:rsidRPr="004916E6" w:rsidRDefault="005934B2" w:rsidP="000366C5">
            <w:pPr>
              <w:jc w:val="right"/>
              <w:rPr>
                <w:rFonts w:ascii="Calibri" w:hAnsi="Calibri"/>
                <w:b/>
                <w:bCs/>
                <w:sz w:val="20"/>
                <w:szCs w:val="20"/>
              </w:rPr>
            </w:pPr>
            <w:r w:rsidRPr="004916E6">
              <w:rPr>
                <w:rFonts w:ascii="Calibri" w:hAnsi="Calibri"/>
                <w:b/>
                <w:bCs/>
                <w:sz w:val="20"/>
                <w:szCs w:val="20"/>
              </w:rPr>
              <w:t>11.512.096,34</w:t>
            </w:r>
          </w:p>
        </w:tc>
        <w:tc>
          <w:tcPr>
            <w:tcW w:w="1701" w:type="dxa"/>
            <w:tcBorders>
              <w:top w:val="nil"/>
              <w:left w:val="nil"/>
              <w:bottom w:val="single" w:sz="4" w:space="0" w:color="auto"/>
              <w:right w:val="single" w:sz="4" w:space="0" w:color="auto"/>
            </w:tcBorders>
            <w:shd w:val="clear" w:color="000000" w:fill="8DB3E2"/>
            <w:noWrap/>
            <w:vAlign w:val="center"/>
            <w:hideMark/>
          </w:tcPr>
          <w:p w:rsidR="005934B2" w:rsidRPr="004916E6" w:rsidRDefault="005934B2" w:rsidP="000366C5">
            <w:pPr>
              <w:jc w:val="right"/>
              <w:rPr>
                <w:rFonts w:ascii="Calibri" w:hAnsi="Calibri"/>
                <w:b/>
                <w:bCs/>
                <w:sz w:val="20"/>
                <w:szCs w:val="20"/>
              </w:rPr>
            </w:pPr>
            <w:r w:rsidRPr="004916E6">
              <w:rPr>
                <w:rFonts w:ascii="Calibri" w:hAnsi="Calibri"/>
                <w:b/>
                <w:bCs/>
                <w:sz w:val="20"/>
                <w:szCs w:val="20"/>
              </w:rPr>
              <w:t>8.058.536,51</w:t>
            </w:r>
          </w:p>
        </w:tc>
        <w:tc>
          <w:tcPr>
            <w:tcW w:w="1134" w:type="dxa"/>
            <w:tcBorders>
              <w:top w:val="nil"/>
              <w:left w:val="nil"/>
              <w:bottom w:val="single" w:sz="4" w:space="0" w:color="auto"/>
              <w:right w:val="single" w:sz="4" w:space="0" w:color="auto"/>
            </w:tcBorders>
            <w:shd w:val="clear" w:color="000000" w:fill="8DB4E2"/>
            <w:noWrap/>
            <w:vAlign w:val="center"/>
            <w:hideMark/>
          </w:tcPr>
          <w:p w:rsidR="005934B2" w:rsidRPr="004916E6" w:rsidRDefault="005934B2" w:rsidP="000366C5">
            <w:pPr>
              <w:jc w:val="right"/>
              <w:rPr>
                <w:rFonts w:ascii="Calibri" w:hAnsi="Calibri"/>
                <w:b/>
                <w:bCs/>
                <w:sz w:val="20"/>
                <w:szCs w:val="20"/>
              </w:rPr>
            </w:pPr>
            <w:r w:rsidRPr="004916E6">
              <w:rPr>
                <w:rFonts w:ascii="Calibri" w:hAnsi="Calibri"/>
                <w:b/>
                <w:bCs/>
                <w:sz w:val="20"/>
                <w:szCs w:val="20"/>
              </w:rPr>
              <w:t>70,00</w:t>
            </w:r>
          </w:p>
        </w:tc>
        <w:tc>
          <w:tcPr>
            <w:tcW w:w="1418" w:type="dxa"/>
            <w:tcBorders>
              <w:top w:val="nil"/>
              <w:left w:val="nil"/>
              <w:bottom w:val="single" w:sz="4" w:space="0" w:color="auto"/>
              <w:right w:val="single" w:sz="4" w:space="0" w:color="auto"/>
            </w:tcBorders>
            <w:shd w:val="clear" w:color="000000" w:fill="8DB3E2"/>
            <w:noWrap/>
            <w:vAlign w:val="center"/>
            <w:hideMark/>
          </w:tcPr>
          <w:p w:rsidR="005934B2" w:rsidRPr="004916E6" w:rsidRDefault="005934B2" w:rsidP="000366C5">
            <w:pPr>
              <w:jc w:val="right"/>
              <w:rPr>
                <w:rFonts w:ascii="Calibri" w:hAnsi="Calibri"/>
                <w:b/>
                <w:bCs/>
                <w:sz w:val="20"/>
                <w:szCs w:val="20"/>
              </w:rPr>
            </w:pPr>
            <w:r w:rsidRPr="004916E6">
              <w:rPr>
                <w:rFonts w:ascii="Calibri" w:hAnsi="Calibri"/>
                <w:b/>
                <w:bCs/>
                <w:sz w:val="20"/>
                <w:szCs w:val="20"/>
              </w:rPr>
              <w:t>100,00%</w:t>
            </w:r>
          </w:p>
        </w:tc>
      </w:tr>
    </w:tbl>
    <w:p w:rsidR="005934B2" w:rsidRPr="00B44D0C" w:rsidRDefault="005934B2" w:rsidP="00A401F8">
      <w:pPr>
        <w:jc w:val="left"/>
        <w:rPr>
          <w:rFonts w:asciiTheme="minorHAnsi" w:eastAsia="Calibri" w:hAnsiTheme="minorHAnsi"/>
          <w:b/>
          <w:color w:val="auto"/>
          <w:sz w:val="20"/>
          <w:szCs w:val="20"/>
          <w:lang w:val="sr-Cyrl-BA" w:eastAsia="en-US"/>
        </w:rPr>
      </w:pP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ru-RU" w:eastAsia="en-US"/>
        </w:rPr>
        <w:tab/>
      </w:r>
      <w:r w:rsidRPr="005767EF">
        <w:rPr>
          <w:rFonts w:asciiTheme="minorHAnsi" w:eastAsia="Calibri" w:hAnsiTheme="minorHAnsi"/>
          <w:color w:val="auto"/>
          <w:sz w:val="20"/>
          <w:szCs w:val="20"/>
          <w:lang w:val="sr-Cyrl-BA" w:eastAsia="en-US"/>
        </w:rPr>
        <w:t xml:space="preserve">       </w:t>
      </w:r>
      <w:r>
        <w:rPr>
          <w:rFonts w:asciiTheme="minorHAnsi" w:eastAsia="Calibri" w:hAnsiTheme="minorHAnsi"/>
          <w:color w:val="auto"/>
          <w:sz w:val="20"/>
          <w:szCs w:val="20"/>
          <w:lang w:val="sr-Cyrl-BA" w:eastAsia="en-US"/>
        </w:rPr>
        <w:t xml:space="preserve">         </w:t>
      </w:r>
      <w:r w:rsidRPr="005767EF">
        <w:rPr>
          <w:rFonts w:asciiTheme="minorHAnsi" w:eastAsia="Calibri" w:hAnsiTheme="minorHAnsi"/>
          <w:color w:val="auto"/>
          <w:sz w:val="20"/>
          <w:szCs w:val="20"/>
          <w:lang w:val="sr-Cyrl-BA" w:eastAsia="en-US"/>
        </w:rPr>
        <w:t xml:space="preserve"> </w:t>
      </w:r>
    </w:p>
    <w:p w:rsidR="005934B2" w:rsidRDefault="005934B2" w:rsidP="00A401F8">
      <w:pPr>
        <w:rPr>
          <w:rFonts w:asciiTheme="minorHAnsi" w:hAnsiTheme="minorHAnsi"/>
          <w:sz w:val="20"/>
          <w:szCs w:val="20"/>
          <w:lang w:val="sr-Cyrl-CS" w:eastAsia="sr-Cyrl-CS"/>
        </w:rPr>
      </w:pPr>
      <w:r w:rsidRPr="008C6F9F">
        <w:rPr>
          <w:rFonts w:asciiTheme="minorHAnsi" w:hAnsiTheme="minorHAnsi"/>
          <w:sz w:val="20"/>
          <w:szCs w:val="20"/>
          <w:lang w:val="sr-Cyrl-CS" w:eastAsia="sr-Cyrl-CS"/>
        </w:rPr>
        <w:t xml:space="preserve">Dominantno učešće od </w:t>
      </w:r>
      <w:r>
        <w:rPr>
          <w:rFonts w:asciiTheme="minorHAnsi" w:hAnsiTheme="minorHAnsi"/>
          <w:sz w:val="20"/>
          <w:szCs w:val="20"/>
          <w:lang w:val="sr-Cyrl-CS" w:eastAsia="sr-Cyrl-CS"/>
        </w:rPr>
        <w:t>48,52</w:t>
      </w:r>
      <w:r w:rsidRPr="008C6F9F">
        <w:rPr>
          <w:rFonts w:asciiTheme="minorHAnsi" w:hAnsiTheme="minorHAnsi"/>
          <w:sz w:val="20"/>
          <w:szCs w:val="20"/>
          <w:lang w:val="sr-Cyrl-CS" w:eastAsia="sr-Cyrl-CS"/>
        </w:rPr>
        <w:t>% imaju ulaganja u dužničke hartije od vrijednosti Republike Srpske,</w:t>
      </w:r>
      <w:r>
        <w:rPr>
          <w:rFonts w:asciiTheme="minorHAnsi" w:hAnsiTheme="minorHAnsi"/>
          <w:sz w:val="20"/>
          <w:szCs w:val="20"/>
          <w:lang w:val="sr-Cyrl-CS" w:eastAsia="sr-Cyrl-CS"/>
        </w:rPr>
        <w:t xml:space="preserve"> čije stanje na dan 31.12.2024. godine iznosi 3.909.860,00 KM. N</w:t>
      </w:r>
      <w:r w:rsidRPr="008C6F9F">
        <w:rPr>
          <w:rFonts w:asciiTheme="minorHAnsi" w:hAnsiTheme="minorHAnsi"/>
          <w:sz w:val="20"/>
          <w:szCs w:val="20"/>
          <w:lang w:val="sr-Cyrl-CS" w:eastAsia="sr-Cyrl-CS"/>
        </w:rPr>
        <w:t xml:space="preserve">a drugom </w:t>
      </w:r>
      <w:r>
        <w:rPr>
          <w:rFonts w:asciiTheme="minorHAnsi" w:hAnsiTheme="minorHAnsi"/>
          <w:sz w:val="20"/>
          <w:szCs w:val="20"/>
          <w:lang w:val="sr-Cyrl-CS" w:eastAsia="sr-Cyrl-CS"/>
        </w:rPr>
        <w:t xml:space="preserve">mjestu se </w:t>
      </w:r>
      <w:r w:rsidRPr="008C6F9F">
        <w:rPr>
          <w:rFonts w:asciiTheme="minorHAnsi" w:hAnsiTheme="minorHAnsi"/>
          <w:sz w:val="20"/>
          <w:szCs w:val="20"/>
          <w:lang w:val="sr-Cyrl-CS" w:eastAsia="sr-Cyrl-CS"/>
        </w:rPr>
        <w:t xml:space="preserve">nalaze </w:t>
      </w:r>
      <w:r>
        <w:rPr>
          <w:rFonts w:asciiTheme="minorHAnsi" w:hAnsiTheme="minorHAnsi"/>
          <w:sz w:val="20"/>
          <w:szCs w:val="20"/>
          <w:lang w:val="sr-Cyrl-CS" w:eastAsia="sr-Cyrl-CS"/>
        </w:rPr>
        <w:t xml:space="preserve">ulaganja u hartije od vrijednosti finansijskih institucija u iznosu od 2.362.820,36 KM. Na trećem mjestu se nalaze </w:t>
      </w:r>
      <w:r w:rsidRPr="008C6F9F">
        <w:rPr>
          <w:rFonts w:asciiTheme="minorHAnsi" w:hAnsiTheme="minorHAnsi"/>
          <w:sz w:val="20"/>
          <w:szCs w:val="20"/>
          <w:lang w:val="sr-Cyrl-CS" w:eastAsia="sr-Cyrl-CS"/>
        </w:rPr>
        <w:t>ulaganja u dužničke hartije od vrijednosti čij</w:t>
      </w:r>
      <w:r>
        <w:rPr>
          <w:rFonts w:asciiTheme="minorHAnsi" w:hAnsiTheme="minorHAnsi"/>
          <w:sz w:val="20"/>
          <w:szCs w:val="20"/>
          <w:lang w:val="sr-Cyrl-CS" w:eastAsia="sr-Cyrl-CS"/>
        </w:rPr>
        <w:t xml:space="preserve">i su emitenti lokalne zajednice, a stanje ovih hartija na dan 31.12.2024. godine iznosi 1.494.122,24 KM. U ovoj grupi je primjetan značajan rast ulaganja u odnosu na prethodnu godinu, s obzirom da su se ove hartije pokazale kao ulaganje sa prihvatljivim nivoom rizika uz stope prinosa koje su više u odnosu na stope prinosa koje nude državne obveznice. </w:t>
      </w:r>
      <w:r w:rsidRPr="008C6F9F">
        <w:rPr>
          <w:rFonts w:asciiTheme="minorHAnsi" w:hAnsiTheme="minorHAnsi"/>
          <w:sz w:val="20"/>
          <w:szCs w:val="20"/>
          <w:lang w:val="sr-Cyrl-CS" w:eastAsia="sr-Cyrl-CS"/>
        </w:rPr>
        <w:t>Ulaganja u hartije od vrijednosti privrednih d</w:t>
      </w:r>
      <w:r>
        <w:rPr>
          <w:rFonts w:asciiTheme="minorHAnsi" w:hAnsiTheme="minorHAnsi"/>
          <w:sz w:val="20"/>
          <w:szCs w:val="20"/>
          <w:lang w:val="sr-Cyrl-CS" w:eastAsia="sr-Cyrl-CS"/>
        </w:rPr>
        <w:t>ruštava imaju najmanje učešće, 3,62</w:t>
      </w:r>
      <w:r w:rsidRPr="008C6F9F">
        <w:rPr>
          <w:rFonts w:asciiTheme="minorHAnsi" w:hAnsiTheme="minorHAnsi"/>
          <w:sz w:val="20"/>
          <w:szCs w:val="20"/>
          <w:lang w:val="sr-Cyrl-CS" w:eastAsia="sr-Cyrl-CS"/>
        </w:rPr>
        <w:t>%</w:t>
      </w:r>
      <w:r>
        <w:rPr>
          <w:rFonts w:asciiTheme="minorHAnsi" w:hAnsiTheme="minorHAnsi"/>
          <w:sz w:val="20"/>
          <w:szCs w:val="20"/>
          <w:lang w:val="sr-Cyrl-CS" w:eastAsia="sr-Cyrl-CS"/>
        </w:rPr>
        <w:t xml:space="preserve"> ili 291.733,91 KM u apsolutnom iznosu</w:t>
      </w:r>
      <w:r w:rsidRPr="008C6F9F">
        <w:rPr>
          <w:rFonts w:asciiTheme="minorHAnsi" w:hAnsiTheme="minorHAnsi"/>
          <w:sz w:val="20"/>
          <w:szCs w:val="20"/>
          <w:lang w:val="sr-Cyrl-CS" w:eastAsia="sr-Cyrl-CS"/>
        </w:rPr>
        <w:t>.</w:t>
      </w:r>
    </w:p>
    <w:p w:rsidR="005934B2" w:rsidRDefault="005934B2" w:rsidP="00A401F8">
      <w:pPr>
        <w:rPr>
          <w:rFonts w:asciiTheme="minorHAnsi" w:hAnsiTheme="minorHAnsi"/>
          <w:sz w:val="20"/>
          <w:szCs w:val="20"/>
          <w:lang w:val="sr-Cyrl-CS" w:eastAsia="sr-Cyrl-CS"/>
        </w:rPr>
      </w:pPr>
    </w:p>
    <w:p w:rsidR="005934B2" w:rsidRDefault="005934B2" w:rsidP="00A401F8">
      <w:pPr>
        <w:jc w:val="center"/>
        <w:rPr>
          <w:rFonts w:asciiTheme="minorHAnsi" w:hAnsiTheme="minorHAnsi"/>
          <w:b/>
          <w:sz w:val="20"/>
          <w:szCs w:val="20"/>
          <w:lang w:val="sr-Cyrl-CS" w:eastAsia="sr-Cyrl-CS"/>
        </w:rPr>
      </w:pPr>
      <w:r>
        <w:rPr>
          <w:rFonts w:asciiTheme="minorHAnsi" w:hAnsiTheme="minorHAnsi"/>
          <w:b/>
          <w:sz w:val="20"/>
          <w:szCs w:val="20"/>
          <w:lang w:val="sr-Cyrl-CS" w:eastAsia="sr-Cyrl-CS"/>
        </w:rPr>
        <w:t>Analitički p</w:t>
      </w:r>
      <w:r w:rsidRPr="005767EF">
        <w:rPr>
          <w:rFonts w:asciiTheme="minorHAnsi" w:hAnsiTheme="minorHAnsi"/>
          <w:b/>
          <w:sz w:val="20"/>
          <w:szCs w:val="20"/>
          <w:lang w:val="sr-Cyrl-CS" w:eastAsia="sr-Cyrl-CS"/>
        </w:rPr>
        <w:t>regled stanja hartija od vrijednosti na dan 31.12.202</w:t>
      </w:r>
      <w:r>
        <w:rPr>
          <w:rFonts w:asciiTheme="minorHAnsi" w:hAnsiTheme="minorHAnsi"/>
          <w:b/>
          <w:sz w:val="20"/>
          <w:szCs w:val="20"/>
          <w:lang w:val="sr-Cyrl-CS" w:eastAsia="sr-Cyrl-CS"/>
        </w:rPr>
        <w:t>4</w:t>
      </w:r>
      <w:r w:rsidRPr="005767EF">
        <w:rPr>
          <w:rFonts w:asciiTheme="minorHAnsi" w:hAnsiTheme="minorHAnsi"/>
          <w:b/>
          <w:sz w:val="20"/>
          <w:szCs w:val="20"/>
          <w:lang w:val="sr-Cyrl-CS" w:eastAsia="sr-Cyrl-CS"/>
        </w:rPr>
        <w:t>. godine</w:t>
      </w:r>
    </w:p>
    <w:p w:rsidR="005934B2" w:rsidRDefault="005934B2" w:rsidP="00A401F8">
      <w:pPr>
        <w:jc w:val="center"/>
        <w:rPr>
          <w:rFonts w:asciiTheme="minorHAnsi" w:eastAsia="Calibri" w:hAnsiTheme="minorHAnsi"/>
          <w:b/>
          <w:color w:val="auto"/>
          <w:sz w:val="20"/>
          <w:szCs w:val="20"/>
          <w:lang w:val="sr-Cyrl-BA" w:eastAsia="en-US"/>
        </w:rPr>
      </w:pPr>
    </w:p>
    <w:p w:rsidR="005934B2" w:rsidRPr="00651E63" w:rsidRDefault="005934B2" w:rsidP="00A401F8">
      <w:pPr>
        <w:jc w:val="right"/>
        <w:rPr>
          <w:rFonts w:asciiTheme="minorHAnsi" w:eastAsia="Calibri" w:hAnsiTheme="minorHAnsi"/>
          <w:b/>
          <w:color w:val="auto"/>
          <w:sz w:val="20"/>
          <w:szCs w:val="20"/>
          <w:lang w:val="sr-Cyrl-BA" w:eastAsia="en-US"/>
        </w:rPr>
      </w:pPr>
      <w:r>
        <w:rPr>
          <w:rFonts w:asciiTheme="minorHAnsi" w:eastAsia="Calibri" w:hAnsiTheme="minorHAnsi"/>
          <w:b/>
          <w:color w:val="auto"/>
          <w:sz w:val="20"/>
          <w:szCs w:val="20"/>
          <w:lang w:val="sr-Cyrl-BA" w:eastAsia="en-US"/>
        </w:rPr>
        <w:t>Tabela 24</w:t>
      </w:r>
    </w:p>
    <w:tbl>
      <w:tblPr>
        <w:tblW w:w="9004" w:type="dxa"/>
        <w:tblInd w:w="93" w:type="dxa"/>
        <w:tblLayout w:type="fixed"/>
        <w:tblLook w:val="04A0" w:firstRow="1" w:lastRow="0" w:firstColumn="1" w:lastColumn="0" w:noHBand="0" w:noVBand="1"/>
      </w:tblPr>
      <w:tblGrid>
        <w:gridCol w:w="582"/>
        <w:gridCol w:w="1276"/>
        <w:gridCol w:w="1356"/>
        <w:gridCol w:w="770"/>
        <w:gridCol w:w="1134"/>
        <w:gridCol w:w="851"/>
        <w:gridCol w:w="992"/>
        <w:gridCol w:w="992"/>
        <w:gridCol w:w="1051"/>
      </w:tblGrid>
      <w:tr w:rsidR="005934B2" w:rsidRPr="00651E63" w:rsidTr="000366C5">
        <w:trPr>
          <w:trHeight w:val="720"/>
        </w:trPr>
        <w:tc>
          <w:tcPr>
            <w:tcW w:w="582" w:type="dxa"/>
            <w:tcBorders>
              <w:top w:val="single" w:sz="4" w:space="0" w:color="auto"/>
              <w:left w:val="single" w:sz="4" w:space="0" w:color="auto"/>
              <w:bottom w:val="single" w:sz="4" w:space="0" w:color="auto"/>
              <w:right w:val="single" w:sz="4" w:space="0" w:color="auto"/>
            </w:tcBorders>
            <w:shd w:val="clear" w:color="000000" w:fill="8DB4E2"/>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RED. BR.</w:t>
            </w:r>
          </w:p>
        </w:tc>
        <w:tc>
          <w:tcPr>
            <w:tcW w:w="1276" w:type="dxa"/>
            <w:tcBorders>
              <w:top w:val="single" w:sz="4" w:space="0" w:color="auto"/>
              <w:left w:val="nil"/>
              <w:bottom w:val="single" w:sz="4" w:space="0" w:color="auto"/>
              <w:right w:val="single" w:sz="4" w:space="0" w:color="auto"/>
            </w:tcBorders>
            <w:shd w:val="clear" w:color="000000" w:fill="8DB4E2"/>
            <w:noWrap/>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OZNAKA HARTIJE</w:t>
            </w:r>
          </w:p>
        </w:tc>
        <w:tc>
          <w:tcPr>
            <w:tcW w:w="1356" w:type="dxa"/>
            <w:tcBorders>
              <w:top w:val="single" w:sz="4" w:space="0" w:color="auto"/>
              <w:left w:val="nil"/>
              <w:bottom w:val="single" w:sz="4" w:space="0" w:color="auto"/>
              <w:right w:val="single" w:sz="4" w:space="0" w:color="auto"/>
            </w:tcBorders>
            <w:shd w:val="clear" w:color="000000" w:fill="8DB4E2"/>
            <w:noWrap/>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IZNOS EMISIJE</w:t>
            </w:r>
          </w:p>
        </w:tc>
        <w:tc>
          <w:tcPr>
            <w:tcW w:w="770" w:type="dxa"/>
            <w:tcBorders>
              <w:top w:val="single" w:sz="4" w:space="0" w:color="auto"/>
              <w:left w:val="nil"/>
              <w:bottom w:val="single" w:sz="4" w:space="0" w:color="auto"/>
              <w:right w:val="single" w:sz="4" w:space="0" w:color="auto"/>
            </w:tcBorders>
            <w:shd w:val="clear" w:color="000000" w:fill="8DB4E2"/>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BROJ OBVEZNICA</w:t>
            </w:r>
          </w:p>
        </w:tc>
        <w:tc>
          <w:tcPr>
            <w:tcW w:w="1134" w:type="dxa"/>
            <w:tcBorders>
              <w:top w:val="single" w:sz="4" w:space="0" w:color="auto"/>
              <w:left w:val="nil"/>
              <w:bottom w:val="single" w:sz="4" w:space="0" w:color="auto"/>
              <w:right w:val="single" w:sz="4" w:space="0" w:color="auto"/>
            </w:tcBorders>
            <w:shd w:val="clear" w:color="000000" w:fill="8DB4E2"/>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KUPLjENI IZNOS</w:t>
            </w:r>
          </w:p>
        </w:tc>
        <w:tc>
          <w:tcPr>
            <w:tcW w:w="851" w:type="dxa"/>
            <w:tcBorders>
              <w:top w:val="single" w:sz="4" w:space="0" w:color="auto"/>
              <w:left w:val="nil"/>
              <w:bottom w:val="single" w:sz="4" w:space="0" w:color="auto"/>
              <w:right w:val="single" w:sz="4" w:space="0" w:color="auto"/>
            </w:tcBorders>
            <w:shd w:val="clear" w:color="000000" w:fill="8DB4E2"/>
            <w:vAlign w:val="center"/>
            <w:hideMark/>
          </w:tcPr>
          <w:p w:rsidR="005934B2" w:rsidRPr="00651E63" w:rsidRDefault="005934B2" w:rsidP="000366C5">
            <w:pPr>
              <w:ind w:right="-108"/>
              <w:jc w:val="center"/>
              <w:rPr>
                <w:rFonts w:ascii="Calibri" w:hAnsi="Calibri"/>
                <w:b/>
                <w:bCs/>
                <w:sz w:val="16"/>
                <w:szCs w:val="16"/>
              </w:rPr>
            </w:pPr>
            <w:r w:rsidRPr="00651E63">
              <w:rPr>
                <w:rFonts w:ascii="Calibri" w:hAnsi="Calibri"/>
                <w:b/>
                <w:bCs/>
                <w:sz w:val="16"/>
                <w:szCs w:val="16"/>
              </w:rPr>
              <w:t>KAMATNA STOPA</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DATUM REGISTRACIJE U CR HOV</w:t>
            </w:r>
          </w:p>
        </w:tc>
        <w:tc>
          <w:tcPr>
            <w:tcW w:w="992" w:type="dxa"/>
            <w:tcBorders>
              <w:top w:val="single" w:sz="4" w:space="0" w:color="auto"/>
              <w:left w:val="nil"/>
              <w:bottom w:val="single" w:sz="4" w:space="0" w:color="auto"/>
              <w:right w:val="single" w:sz="4" w:space="0" w:color="auto"/>
            </w:tcBorders>
            <w:shd w:val="clear" w:color="000000" w:fill="8DB4E2"/>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STANjE NA DAN 31.12.2024</w:t>
            </w:r>
          </w:p>
        </w:tc>
        <w:tc>
          <w:tcPr>
            <w:tcW w:w="1051" w:type="dxa"/>
            <w:tcBorders>
              <w:top w:val="single" w:sz="4" w:space="0" w:color="auto"/>
              <w:left w:val="nil"/>
              <w:bottom w:val="single" w:sz="4" w:space="0" w:color="auto"/>
              <w:right w:val="single" w:sz="4" w:space="0" w:color="auto"/>
            </w:tcBorders>
            <w:shd w:val="clear" w:color="000000" w:fill="8DB4E2"/>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DATUM DOSPIJEĆA</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RSBD-O44 (63. emisija)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15.000.000,00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000000" w:fill="FFFFFF"/>
            <w:vAlign w:val="center"/>
            <w:hideMark/>
          </w:tcPr>
          <w:p w:rsidR="005934B2" w:rsidRPr="00651E63" w:rsidRDefault="005934B2" w:rsidP="000366C5">
            <w:pPr>
              <w:jc w:val="center"/>
              <w:rPr>
                <w:rFonts w:ascii="Calibri" w:hAnsi="Calibri"/>
                <w:color w:val="090D48"/>
                <w:sz w:val="16"/>
                <w:szCs w:val="16"/>
              </w:rPr>
            </w:pPr>
            <w:r w:rsidRPr="00651E63">
              <w:rPr>
                <w:rFonts w:ascii="Calibri" w:hAnsi="Calibri"/>
                <w:color w:val="090D48"/>
                <w:sz w:val="16"/>
                <w:szCs w:val="16"/>
              </w:rPr>
              <w:t>27.9.2023.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ind w:left="-108" w:right="-107"/>
              <w:jc w:val="right"/>
              <w:rPr>
                <w:rFonts w:ascii="Calibri" w:hAnsi="Calibri"/>
                <w:sz w:val="16"/>
                <w:szCs w:val="16"/>
              </w:rPr>
            </w:pPr>
            <w:r w:rsidRPr="00651E63">
              <w:rPr>
                <w:rFonts w:ascii="Calibri" w:hAnsi="Calibri"/>
                <w:sz w:val="16"/>
                <w:szCs w:val="16"/>
              </w:rPr>
              <w:t>800.000,00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27.09.2028.</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RSBD-O-03 (4. emisija)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25.000.000,00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1.450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1.468.850,00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21.06.2017.</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ind w:left="-108" w:right="-107"/>
              <w:jc w:val="right"/>
              <w:rPr>
                <w:rFonts w:ascii="Calibri" w:hAnsi="Calibri"/>
                <w:sz w:val="16"/>
                <w:szCs w:val="16"/>
              </w:rPr>
            </w:pPr>
            <w:r w:rsidRPr="00651E63">
              <w:rPr>
                <w:rFonts w:ascii="Calibri" w:hAnsi="Calibri"/>
                <w:sz w:val="16"/>
                <w:szCs w:val="16"/>
              </w:rPr>
              <w:t>1.468.850,00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21.06.2027.</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3 .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RSBD-O11 (32. emisija)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1.063.200,00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4,00%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05.04.2019.</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ind w:left="-108" w:right="-107"/>
              <w:jc w:val="right"/>
              <w:rPr>
                <w:rFonts w:ascii="Calibri" w:hAnsi="Calibri"/>
                <w:sz w:val="16"/>
                <w:szCs w:val="16"/>
              </w:rPr>
            </w:pPr>
            <w:r w:rsidRPr="00651E63">
              <w:rPr>
                <w:rFonts w:ascii="Calibri" w:hAnsi="Calibri"/>
                <w:sz w:val="16"/>
                <w:szCs w:val="16"/>
              </w:rPr>
              <w:t>1.063.200,00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05.04.2029.</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4 .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RSBD -019 (40. emisija)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477.050,00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16.04.2020.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ind w:left="-108" w:right="-107"/>
              <w:jc w:val="right"/>
              <w:rPr>
                <w:rFonts w:ascii="Calibri" w:hAnsi="Calibri"/>
                <w:sz w:val="16"/>
                <w:szCs w:val="16"/>
              </w:rPr>
            </w:pPr>
            <w:r w:rsidRPr="00651E63">
              <w:rPr>
                <w:rFonts w:ascii="Calibri" w:hAnsi="Calibri"/>
                <w:sz w:val="16"/>
                <w:szCs w:val="16"/>
              </w:rPr>
              <w:t>477.050,00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16.04.2025.</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5 .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RABD-O49 (68 emisija)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100.760,00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22.08.2024.</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ind w:left="-108" w:right="-107"/>
              <w:jc w:val="right"/>
              <w:rPr>
                <w:rFonts w:ascii="Calibri" w:hAnsi="Calibri"/>
                <w:sz w:val="16"/>
                <w:szCs w:val="16"/>
              </w:rPr>
            </w:pPr>
            <w:r w:rsidRPr="00651E63">
              <w:rPr>
                <w:rFonts w:ascii="Calibri" w:hAnsi="Calibri"/>
                <w:sz w:val="16"/>
                <w:szCs w:val="16"/>
              </w:rPr>
              <w:t>100.760,00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22.08.2029.</w:t>
            </w:r>
          </w:p>
        </w:tc>
      </w:tr>
      <w:tr w:rsidR="005934B2" w:rsidRPr="00651E63" w:rsidTr="000366C5">
        <w:trPr>
          <w:trHeight w:val="315"/>
        </w:trPr>
        <w:tc>
          <w:tcPr>
            <w:tcW w:w="1858" w:type="dxa"/>
            <w:gridSpan w:val="2"/>
            <w:tcBorders>
              <w:top w:val="single" w:sz="4" w:space="0" w:color="auto"/>
              <w:left w:val="single" w:sz="4" w:space="0" w:color="auto"/>
              <w:bottom w:val="single" w:sz="4" w:space="0" w:color="auto"/>
              <w:right w:val="single" w:sz="4" w:space="0" w:color="auto"/>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UKUPNO HOV REPUBLIKE SRPSKE (5)</w:t>
            </w:r>
          </w:p>
        </w:tc>
        <w:tc>
          <w:tcPr>
            <w:tcW w:w="1356" w:type="dxa"/>
            <w:tcBorders>
              <w:top w:val="nil"/>
              <w:left w:val="nil"/>
              <w:bottom w:val="single" w:sz="4" w:space="0" w:color="auto"/>
              <w:right w:val="single" w:sz="4" w:space="0" w:color="auto"/>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770" w:type="dxa"/>
            <w:tcBorders>
              <w:top w:val="nil"/>
              <w:left w:val="nil"/>
              <w:bottom w:val="single" w:sz="4" w:space="0" w:color="auto"/>
              <w:right w:val="single" w:sz="4" w:space="0" w:color="auto"/>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1134"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right"/>
              <w:rPr>
                <w:rFonts w:ascii="Calibri" w:hAnsi="Calibri"/>
                <w:b/>
                <w:bCs/>
                <w:sz w:val="16"/>
                <w:szCs w:val="16"/>
              </w:rPr>
            </w:pPr>
            <w:r w:rsidRPr="00651E63">
              <w:rPr>
                <w:rFonts w:ascii="Calibri" w:hAnsi="Calibri"/>
                <w:b/>
                <w:bCs/>
                <w:sz w:val="16"/>
                <w:szCs w:val="16"/>
              </w:rPr>
              <w:t>4.109.860,00</w:t>
            </w:r>
          </w:p>
        </w:tc>
        <w:tc>
          <w:tcPr>
            <w:tcW w:w="851"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ind w:right="-108"/>
              <w:jc w:val="right"/>
              <w:rPr>
                <w:rFonts w:ascii="Calibri" w:hAnsi="Calibri"/>
                <w:b/>
                <w:bCs/>
                <w:sz w:val="16"/>
                <w:szCs w:val="16"/>
              </w:rPr>
            </w:pPr>
            <w:r w:rsidRPr="00651E63">
              <w:rPr>
                <w:rFonts w:ascii="Calibri" w:hAnsi="Calibri"/>
                <w:b/>
                <w:bCs/>
                <w:sz w:val="16"/>
                <w:szCs w:val="16"/>
              </w:rPr>
              <w:t>3.909.860,00</w:t>
            </w:r>
          </w:p>
        </w:tc>
        <w:tc>
          <w:tcPr>
            <w:tcW w:w="1051"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 </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6 .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OSOD-O-A Srbac</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3.500.000,00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19.12.2017.</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226.496,16</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19.12.2031.</w:t>
            </w:r>
          </w:p>
        </w:tc>
      </w:tr>
      <w:tr w:rsidR="005934B2" w:rsidRPr="00651E63" w:rsidTr="000366C5">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7 .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xml:space="preserve">RGBZ-O-A Rogatica </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900.000,00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15.02.2018.</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114.964,30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15.02.2028.</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8 .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xml:space="preserve">BLKI-O-B Banja Luka </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2.845</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295.880,00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26.04.2018.</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34.769,46</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26.04.2025.</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9 .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OKRZ-O-A Kotor Varoš</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5.000.000,00</w:t>
            </w:r>
          </w:p>
        </w:tc>
        <w:tc>
          <w:tcPr>
            <w:tcW w:w="770"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2.923</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292.329,23</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4,40%</w:t>
            </w:r>
          </w:p>
        </w:tc>
        <w:tc>
          <w:tcPr>
            <w:tcW w:w="992"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05.10.2018.</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177.862,67</w:t>
            </w:r>
          </w:p>
        </w:tc>
        <w:tc>
          <w:tcPr>
            <w:tcW w:w="1051"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05.10.2028.</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10 .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SLRF -O-A Sokolac</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5.500.000,00</w:t>
            </w:r>
          </w:p>
        </w:tc>
        <w:tc>
          <w:tcPr>
            <w:tcW w:w="770"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4,50%</w:t>
            </w:r>
          </w:p>
        </w:tc>
        <w:tc>
          <w:tcPr>
            <w:tcW w:w="992"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25.02.2019.</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250.087,77</w:t>
            </w:r>
          </w:p>
        </w:tc>
        <w:tc>
          <w:tcPr>
            <w:tcW w:w="1051"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25.02.2034.</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11 .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OSVL-O-A Vlasenica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1.800.000,00</w:t>
            </w:r>
          </w:p>
        </w:tc>
        <w:tc>
          <w:tcPr>
            <w:tcW w:w="770"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18.000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09.10.2019</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134.357,35</w:t>
            </w:r>
          </w:p>
        </w:tc>
        <w:tc>
          <w:tcPr>
            <w:tcW w:w="1051"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09.10.2031.</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12 .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color w:val="auto"/>
                <w:sz w:val="16"/>
                <w:szCs w:val="16"/>
              </w:rPr>
            </w:pPr>
            <w:r w:rsidRPr="00651E63">
              <w:rPr>
                <w:rFonts w:ascii="Calibri" w:hAnsi="Calibri"/>
                <w:color w:val="auto"/>
                <w:sz w:val="16"/>
                <w:szCs w:val="16"/>
              </w:rPr>
              <w:t>OSKI -O-A Opština  Srbac</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color w:val="auto"/>
                <w:sz w:val="16"/>
                <w:szCs w:val="16"/>
              </w:rPr>
            </w:pPr>
            <w:r w:rsidRPr="00651E63">
              <w:rPr>
                <w:rFonts w:ascii="Calibri" w:hAnsi="Calibri"/>
                <w:color w:val="auto"/>
                <w:sz w:val="16"/>
                <w:szCs w:val="16"/>
              </w:rPr>
              <w:t>1.200.000,00</w:t>
            </w:r>
          </w:p>
        </w:tc>
        <w:tc>
          <w:tcPr>
            <w:tcW w:w="770"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right"/>
              <w:rPr>
                <w:rFonts w:ascii="Calibri" w:hAnsi="Calibri"/>
                <w:color w:val="auto"/>
                <w:sz w:val="16"/>
                <w:szCs w:val="16"/>
              </w:rPr>
            </w:pPr>
            <w:r w:rsidRPr="00651E63">
              <w:rPr>
                <w:rFonts w:ascii="Calibri" w:hAnsi="Calibri"/>
                <w:color w:val="auto"/>
                <w:sz w:val="16"/>
                <w:szCs w:val="16"/>
              </w:rPr>
              <w:t>12.000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color w:val="auto"/>
                <w:sz w:val="16"/>
                <w:szCs w:val="16"/>
              </w:rPr>
            </w:pPr>
            <w:r w:rsidRPr="00651E63">
              <w:rPr>
                <w:rFonts w:ascii="Calibri" w:hAnsi="Calibri"/>
                <w:color w:val="auto"/>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color w:val="auto"/>
                <w:sz w:val="16"/>
                <w:szCs w:val="16"/>
              </w:rPr>
            </w:pPr>
            <w:r w:rsidRPr="00651E63">
              <w:rPr>
                <w:rFonts w:ascii="Calibri" w:hAnsi="Calibri"/>
                <w:color w:val="auto"/>
                <w:sz w:val="16"/>
                <w:szCs w:val="16"/>
              </w:rPr>
              <w:t>4,00%</w:t>
            </w:r>
          </w:p>
        </w:tc>
        <w:tc>
          <w:tcPr>
            <w:tcW w:w="992"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08.06.2021</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color w:val="auto"/>
                <w:sz w:val="16"/>
                <w:szCs w:val="16"/>
              </w:rPr>
            </w:pPr>
            <w:r w:rsidRPr="00651E63">
              <w:rPr>
                <w:rFonts w:ascii="Calibri" w:hAnsi="Calibri"/>
                <w:color w:val="auto"/>
                <w:sz w:val="16"/>
                <w:szCs w:val="16"/>
              </w:rPr>
              <w:t>300.000,00</w:t>
            </w:r>
          </w:p>
        </w:tc>
        <w:tc>
          <w:tcPr>
            <w:tcW w:w="1051"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color w:val="auto"/>
                <w:sz w:val="16"/>
                <w:szCs w:val="16"/>
              </w:rPr>
            </w:pPr>
            <w:r w:rsidRPr="00651E63">
              <w:rPr>
                <w:rFonts w:ascii="Calibri" w:hAnsi="Calibri"/>
                <w:color w:val="auto"/>
                <w:sz w:val="16"/>
                <w:szCs w:val="16"/>
              </w:rPr>
              <w:t>08.06.2033.</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934B2" w:rsidRPr="00651E63" w:rsidRDefault="005934B2" w:rsidP="000366C5">
            <w:pPr>
              <w:jc w:val="center"/>
              <w:rPr>
                <w:rFonts w:ascii="Calibri" w:hAnsi="Calibri"/>
                <w:sz w:val="16"/>
                <w:szCs w:val="16"/>
              </w:rPr>
            </w:pPr>
            <w:r w:rsidRPr="00651E63">
              <w:rPr>
                <w:rFonts w:ascii="Calibri" w:hAnsi="Calibri"/>
                <w:sz w:val="16"/>
                <w:szCs w:val="16"/>
              </w:rPr>
              <w:t>13 .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GRPD-O-A Grad Prijedor</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5.500.000,00</w:t>
            </w:r>
          </w:p>
        </w:tc>
        <w:tc>
          <w:tcPr>
            <w:tcW w:w="770"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5,00%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01.02.2023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255.584,53</w:t>
            </w:r>
          </w:p>
        </w:tc>
        <w:tc>
          <w:tcPr>
            <w:tcW w:w="1051" w:type="dxa"/>
            <w:tcBorders>
              <w:top w:val="nil"/>
              <w:left w:val="nil"/>
              <w:bottom w:val="single" w:sz="4" w:space="0" w:color="auto"/>
              <w:right w:val="single" w:sz="4" w:space="0" w:color="auto"/>
            </w:tcBorders>
            <w:shd w:val="clear" w:color="000000" w:fill="FFFFFF"/>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01.02.2033.</w:t>
            </w:r>
          </w:p>
        </w:tc>
      </w:tr>
      <w:tr w:rsidR="005934B2" w:rsidRPr="00651E63" w:rsidTr="000366C5">
        <w:trPr>
          <w:trHeight w:val="315"/>
        </w:trPr>
        <w:tc>
          <w:tcPr>
            <w:tcW w:w="1858" w:type="dxa"/>
            <w:gridSpan w:val="2"/>
            <w:tcBorders>
              <w:top w:val="single" w:sz="4" w:space="0" w:color="auto"/>
              <w:left w:val="single" w:sz="4" w:space="0" w:color="auto"/>
              <w:bottom w:val="single" w:sz="4" w:space="0" w:color="auto"/>
              <w:right w:val="single" w:sz="4" w:space="0" w:color="000000"/>
            </w:tcBorders>
            <w:shd w:val="clear" w:color="000000" w:fill="C5D9F1"/>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UKUPNO HOV LOKALNIH ZAJEDNICA (8)</w:t>
            </w:r>
          </w:p>
        </w:tc>
        <w:tc>
          <w:tcPr>
            <w:tcW w:w="1356" w:type="dxa"/>
            <w:tcBorders>
              <w:top w:val="nil"/>
              <w:left w:val="nil"/>
              <w:bottom w:val="single" w:sz="4" w:space="0" w:color="auto"/>
              <w:right w:val="single" w:sz="4" w:space="0" w:color="auto"/>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770" w:type="dxa"/>
            <w:tcBorders>
              <w:top w:val="nil"/>
              <w:left w:val="nil"/>
              <w:bottom w:val="single" w:sz="4" w:space="0" w:color="auto"/>
              <w:right w:val="single" w:sz="4" w:space="0" w:color="auto"/>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1134"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right"/>
              <w:rPr>
                <w:rFonts w:ascii="Calibri" w:hAnsi="Calibri"/>
                <w:b/>
                <w:bCs/>
                <w:sz w:val="16"/>
                <w:szCs w:val="16"/>
              </w:rPr>
            </w:pPr>
            <w:r w:rsidRPr="00651E63">
              <w:rPr>
                <w:rFonts w:ascii="Calibri" w:hAnsi="Calibri"/>
                <w:b/>
                <w:bCs/>
                <w:sz w:val="16"/>
                <w:szCs w:val="16"/>
              </w:rPr>
              <w:t>2.188.209,23</w:t>
            </w:r>
          </w:p>
        </w:tc>
        <w:tc>
          <w:tcPr>
            <w:tcW w:w="851"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ind w:right="-107"/>
              <w:jc w:val="right"/>
              <w:rPr>
                <w:rFonts w:ascii="Calibri" w:hAnsi="Calibri"/>
                <w:b/>
                <w:bCs/>
                <w:sz w:val="16"/>
                <w:szCs w:val="16"/>
              </w:rPr>
            </w:pPr>
            <w:r w:rsidRPr="00651E63">
              <w:rPr>
                <w:rFonts w:ascii="Calibri" w:hAnsi="Calibri"/>
                <w:b/>
                <w:bCs/>
                <w:sz w:val="16"/>
                <w:szCs w:val="16"/>
              </w:rPr>
              <w:t>1.494.122,24</w:t>
            </w:r>
          </w:p>
        </w:tc>
        <w:tc>
          <w:tcPr>
            <w:tcW w:w="1051" w:type="dxa"/>
            <w:tcBorders>
              <w:top w:val="nil"/>
              <w:left w:val="nil"/>
              <w:bottom w:val="single" w:sz="4" w:space="0" w:color="auto"/>
              <w:right w:val="single" w:sz="4" w:space="0" w:color="auto"/>
            </w:tcBorders>
            <w:shd w:val="clear" w:color="000000" w:fill="C5D9F1"/>
            <w:noWrap/>
            <w:vAlign w:val="bottom"/>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 </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14 .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NOVB-O-G  Nova banka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37.600.000,00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04.11.2019.</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600.000,00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04.11.2029.</w:t>
            </w:r>
          </w:p>
        </w:tc>
      </w:tr>
      <w:tr w:rsidR="005934B2" w:rsidRPr="00651E63" w:rsidTr="000366C5">
        <w:trPr>
          <w:trHeight w:val="33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15 .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MDPF -O-G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150.000,00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03.10.2023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93.047,18</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03.11.2026.</w:t>
            </w:r>
          </w:p>
        </w:tc>
      </w:tr>
      <w:tr w:rsidR="005934B2" w:rsidRPr="00651E63" w:rsidTr="000366C5">
        <w:trPr>
          <w:gridBefore w:val="1"/>
          <w:wBefore w:w="582" w:type="dxa"/>
          <w:trHeight w:val="315"/>
        </w:trPr>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xml:space="preserve">MDPF-O-B MKD PRO-FIN </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1.800.000,00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17.11.2021.</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0,03</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17.11.2024.</w:t>
            </w:r>
          </w:p>
        </w:tc>
      </w:tr>
      <w:tr w:rsidR="005934B2" w:rsidRPr="00651E63" w:rsidTr="000366C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17 .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xml:space="preserve">MDPF-O-E MKD PRO-FIN </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23.02.2023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83.147,28</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23.03.2025</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18 .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MDPF-O-H MKF PRO-FIN</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1.650.000,00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27.12.2023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69.125,55</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27.12.2026</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19 .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MDPF -O-I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2.650.000,00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01.04.2024</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79.642,20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29.03.2027</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20 .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MDPF-O-J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16.07.2024</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262.246,69</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17.07.2027</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21 .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MDPF-O-K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2.700.000,00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03.10.2024.</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190.026,45</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01.10.2027.</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22 .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MDPF-O-L MKD PRO FIN</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2.500.000,00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2.240.000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03.01.2025</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150.000,00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27.12.2027</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23 .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CRRF-O-J MKD Credis</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1.600.000,00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125</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125.000,00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12.09.2023.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83.333,34</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05.09.2026</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24 .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xml:space="preserve">CRRF-O-I MKD Credis </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1.800.000,00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215</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215.000,00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30.12.2022.</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107.500,01</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30.12.2025</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25 .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PIBB-O-B Naša Banka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4.200.000,00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5,25%</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30.04.2024.</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50.000,00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30.10.2024</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26 .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TRRF-O-D  MKD Taurus B luka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05.04.2023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59.866,87</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29.09.2026</w:t>
            </w:r>
          </w:p>
        </w:tc>
      </w:tr>
      <w:tr w:rsidR="005934B2" w:rsidRPr="00651E63" w:rsidTr="000366C5">
        <w:trPr>
          <w:trHeight w:val="33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27 .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TRRF-O-E MKD Taurus</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100.000,00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6,70%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24.11.2023</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73.741,37</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17.05.2027</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28 .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TRRF -O-F MKD Taurus B luka</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 </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29 .</w:t>
            </w:r>
          </w:p>
        </w:tc>
        <w:tc>
          <w:tcPr>
            <w:tcW w:w="127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left"/>
              <w:rPr>
                <w:rFonts w:ascii="Calibri" w:hAnsi="Calibri"/>
                <w:sz w:val="16"/>
                <w:szCs w:val="16"/>
              </w:rPr>
            </w:pPr>
            <w:r w:rsidRPr="00651E63">
              <w:rPr>
                <w:rFonts w:ascii="Calibri" w:hAnsi="Calibri"/>
                <w:sz w:val="16"/>
                <w:szCs w:val="16"/>
              </w:rPr>
              <w:t>TRRF-O-F MKD Taurus</w:t>
            </w:r>
          </w:p>
        </w:tc>
        <w:tc>
          <w:tcPr>
            <w:tcW w:w="1356"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2.000.000,00</w:t>
            </w:r>
          </w:p>
        </w:tc>
        <w:tc>
          <w:tcPr>
            <w:tcW w:w="770"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w:t>
            </w:r>
          </w:p>
        </w:tc>
        <w:tc>
          <w:tcPr>
            <w:tcW w:w="1134"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300.000,00</w:t>
            </w:r>
          </w:p>
        </w:tc>
        <w:tc>
          <w:tcPr>
            <w:tcW w:w="8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6,50%</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05.06.2024.</w:t>
            </w:r>
          </w:p>
        </w:tc>
        <w:tc>
          <w:tcPr>
            <w:tcW w:w="992"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right"/>
              <w:rPr>
                <w:rFonts w:ascii="Calibri" w:hAnsi="Calibri"/>
                <w:sz w:val="16"/>
                <w:szCs w:val="16"/>
              </w:rPr>
            </w:pPr>
            <w:r w:rsidRPr="00651E63">
              <w:rPr>
                <w:rFonts w:ascii="Calibri" w:hAnsi="Calibri"/>
                <w:sz w:val="16"/>
                <w:szCs w:val="16"/>
              </w:rPr>
              <w:t>261.143,39</w:t>
            </w:r>
          </w:p>
        </w:tc>
        <w:tc>
          <w:tcPr>
            <w:tcW w:w="1051" w:type="dxa"/>
            <w:tcBorders>
              <w:top w:val="nil"/>
              <w:left w:val="nil"/>
              <w:bottom w:val="single" w:sz="4" w:space="0" w:color="auto"/>
              <w:right w:val="single" w:sz="4" w:space="0" w:color="auto"/>
            </w:tcBorders>
            <w:shd w:val="clear" w:color="auto" w:fill="auto"/>
            <w:noWrap/>
            <w:vAlign w:val="bottom"/>
            <w:hideMark/>
          </w:tcPr>
          <w:p w:rsidR="005934B2" w:rsidRPr="00651E63" w:rsidRDefault="005934B2" w:rsidP="000366C5">
            <w:pPr>
              <w:jc w:val="center"/>
              <w:rPr>
                <w:rFonts w:ascii="Calibri" w:hAnsi="Calibri"/>
                <w:sz w:val="16"/>
                <w:szCs w:val="16"/>
              </w:rPr>
            </w:pPr>
            <w:r w:rsidRPr="00651E63">
              <w:rPr>
                <w:rFonts w:ascii="Calibri" w:hAnsi="Calibri"/>
                <w:sz w:val="16"/>
                <w:szCs w:val="16"/>
              </w:rPr>
              <w:t>05.12.2027</w:t>
            </w:r>
          </w:p>
        </w:tc>
      </w:tr>
      <w:tr w:rsidR="005934B2" w:rsidRPr="00651E63" w:rsidTr="000366C5">
        <w:trPr>
          <w:trHeight w:val="315"/>
        </w:trPr>
        <w:tc>
          <w:tcPr>
            <w:tcW w:w="1858" w:type="dxa"/>
            <w:gridSpan w:val="2"/>
            <w:tcBorders>
              <w:top w:val="nil"/>
              <w:left w:val="single" w:sz="4" w:space="0" w:color="auto"/>
              <w:bottom w:val="single" w:sz="4" w:space="0" w:color="auto"/>
              <w:right w:val="single" w:sz="4" w:space="0" w:color="auto"/>
            </w:tcBorders>
            <w:shd w:val="clear" w:color="auto" w:fill="C6D9F1" w:themeFill="text2" w:themeFillTint="33"/>
            <w:noWrap/>
            <w:vAlign w:val="bottom"/>
          </w:tcPr>
          <w:p w:rsidR="005934B2" w:rsidRPr="00651E63" w:rsidRDefault="005934B2" w:rsidP="000366C5">
            <w:pPr>
              <w:jc w:val="left"/>
              <w:rPr>
                <w:rFonts w:ascii="Calibri" w:hAnsi="Calibri"/>
                <w:sz w:val="16"/>
                <w:szCs w:val="16"/>
              </w:rPr>
            </w:pPr>
            <w:r w:rsidRPr="00651E63">
              <w:rPr>
                <w:rFonts w:ascii="Calibri" w:hAnsi="Calibri"/>
                <w:b/>
                <w:bCs/>
                <w:sz w:val="16"/>
                <w:szCs w:val="16"/>
              </w:rPr>
              <w:t>UKUPNO HOV FIN. INSTITUCIJA (16)</w:t>
            </w:r>
          </w:p>
        </w:tc>
        <w:tc>
          <w:tcPr>
            <w:tcW w:w="1356" w:type="dxa"/>
            <w:tcBorders>
              <w:top w:val="nil"/>
              <w:left w:val="nil"/>
              <w:bottom w:val="single" w:sz="4" w:space="0" w:color="auto"/>
              <w:right w:val="single" w:sz="4" w:space="0" w:color="auto"/>
            </w:tcBorders>
            <w:shd w:val="clear" w:color="auto" w:fill="C6D9F1" w:themeFill="text2" w:themeFillTint="33"/>
            <w:noWrap/>
            <w:vAlign w:val="bottom"/>
          </w:tcPr>
          <w:p w:rsidR="005934B2" w:rsidRPr="00651E63" w:rsidRDefault="005934B2" w:rsidP="000366C5">
            <w:pPr>
              <w:jc w:val="right"/>
              <w:rPr>
                <w:rFonts w:ascii="Calibri" w:hAnsi="Calibri"/>
                <w:sz w:val="16"/>
                <w:szCs w:val="16"/>
              </w:rPr>
            </w:pPr>
          </w:p>
        </w:tc>
        <w:tc>
          <w:tcPr>
            <w:tcW w:w="770" w:type="dxa"/>
            <w:tcBorders>
              <w:top w:val="nil"/>
              <w:left w:val="nil"/>
              <w:bottom w:val="single" w:sz="4" w:space="0" w:color="auto"/>
              <w:right w:val="single" w:sz="4" w:space="0" w:color="auto"/>
            </w:tcBorders>
            <w:shd w:val="clear" w:color="auto" w:fill="C6D9F1" w:themeFill="text2" w:themeFillTint="33"/>
            <w:noWrap/>
            <w:vAlign w:val="bottom"/>
          </w:tcPr>
          <w:p w:rsidR="005934B2" w:rsidRPr="00651E63" w:rsidRDefault="005934B2" w:rsidP="000366C5">
            <w:pPr>
              <w:jc w:val="right"/>
              <w:rPr>
                <w:rFonts w:ascii="Calibri" w:hAnsi="Calibri"/>
                <w:sz w:val="16"/>
                <w:szCs w:val="16"/>
              </w:rPr>
            </w:pPr>
          </w:p>
        </w:tc>
        <w:tc>
          <w:tcPr>
            <w:tcW w:w="1134" w:type="dxa"/>
            <w:tcBorders>
              <w:top w:val="nil"/>
              <w:left w:val="nil"/>
              <w:bottom w:val="single" w:sz="4" w:space="0" w:color="auto"/>
              <w:right w:val="single" w:sz="4" w:space="0" w:color="auto"/>
            </w:tcBorders>
            <w:shd w:val="clear" w:color="auto" w:fill="C6D9F1" w:themeFill="text2" w:themeFillTint="33"/>
            <w:noWrap/>
            <w:vAlign w:val="bottom"/>
          </w:tcPr>
          <w:p w:rsidR="005934B2" w:rsidRPr="00651E63" w:rsidRDefault="005934B2" w:rsidP="000366C5">
            <w:pPr>
              <w:jc w:val="right"/>
              <w:rPr>
                <w:rFonts w:ascii="Calibri" w:hAnsi="Calibri"/>
                <w:sz w:val="16"/>
                <w:szCs w:val="16"/>
              </w:rPr>
            </w:pPr>
            <w:r w:rsidRPr="00651E63">
              <w:rPr>
                <w:rFonts w:ascii="Calibri" w:hAnsi="Calibri"/>
                <w:b/>
                <w:bCs/>
                <w:sz w:val="16"/>
                <w:szCs w:val="16"/>
              </w:rPr>
              <w:t>2.940.000,00</w:t>
            </w:r>
          </w:p>
        </w:tc>
        <w:tc>
          <w:tcPr>
            <w:tcW w:w="851" w:type="dxa"/>
            <w:tcBorders>
              <w:top w:val="nil"/>
              <w:left w:val="nil"/>
              <w:bottom w:val="single" w:sz="4" w:space="0" w:color="auto"/>
              <w:right w:val="single" w:sz="4" w:space="0" w:color="auto"/>
            </w:tcBorders>
            <w:shd w:val="clear" w:color="auto" w:fill="C6D9F1" w:themeFill="text2" w:themeFillTint="33"/>
            <w:noWrap/>
            <w:vAlign w:val="bottom"/>
          </w:tcPr>
          <w:p w:rsidR="005934B2" w:rsidRPr="00651E63" w:rsidRDefault="005934B2" w:rsidP="000366C5">
            <w:pPr>
              <w:jc w:val="right"/>
              <w:rPr>
                <w:rFonts w:ascii="Calibri" w:hAnsi="Calibri"/>
                <w:sz w:val="16"/>
                <w:szCs w:val="16"/>
              </w:rPr>
            </w:pPr>
          </w:p>
        </w:tc>
        <w:tc>
          <w:tcPr>
            <w:tcW w:w="992" w:type="dxa"/>
            <w:tcBorders>
              <w:top w:val="nil"/>
              <w:left w:val="nil"/>
              <w:bottom w:val="single" w:sz="4" w:space="0" w:color="auto"/>
              <w:right w:val="single" w:sz="4" w:space="0" w:color="auto"/>
            </w:tcBorders>
            <w:shd w:val="clear" w:color="auto" w:fill="C6D9F1" w:themeFill="text2" w:themeFillTint="33"/>
            <w:noWrap/>
            <w:vAlign w:val="bottom"/>
          </w:tcPr>
          <w:p w:rsidR="005934B2" w:rsidRPr="00651E63" w:rsidRDefault="005934B2" w:rsidP="000366C5">
            <w:pPr>
              <w:jc w:val="center"/>
              <w:rPr>
                <w:rFonts w:ascii="Calibri" w:hAnsi="Calibri"/>
                <w:sz w:val="16"/>
                <w:szCs w:val="16"/>
              </w:rPr>
            </w:pPr>
          </w:p>
        </w:tc>
        <w:tc>
          <w:tcPr>
            <w:tcW w:w="992" w:type="dxa"/>
            <w:tcBorders>
              <w:top w:val="nil"/>
              <w:left w:val="nil"/>
              <w:bottom w:val="single" w:sz="4" w:space="0" w:color="auto"/>
              <w:right w:val="single" w:sz="4" w:space="0" w:color="auto"/>
            </w:tcBorders>
            <w:shd w:val="clear" w:color="auto" w:fill="C6D9F1" w:themeFill="text2" w:themeFillTint="33"/>
            <w:noWrap/>
            <w:vAlign w:val="bottom"/>
          </w:tcPr>
          <w:p w:rsidR="005934B2" w:rsidRPr="00651E63" w:rsidRDefault="005934B2" w:rsidP="000366C5">
            <w:pPr>
              <w:ind w:right="-107"/>
              <w:jc w:val="right"/>
              <w:rPr>
                <w:rFonts w:ascii="Calibri" w:hAnsi="Calibri"/>
                <w:sz w:val="16"/>
                <w:szCs w:val="16"/>
              </w:rPr>
            </w:pPr>
            <w:r w:rsidRPr="00651E63">
              <w:rPr>
                <w:rFonts w:ascii="Calibri" w:hAnsi="Calibri"/>
                <w:b/>
                <w:bCs/>
                <w:sz w:val="16"/>
                <w:szCs w:val="16"/>
              </w:rPr>
              <w:t>2.362.820,36</w:t>
            </w:r>
          </w:p>
        </w:tc>
        <w:tc>
          <w:tcPr>
            <w:tcW w:w="1051" w:type="dxa"/>
            <w:tcBorders>
              <w:top w:val="nil"/>
              <w:left w:val="nil"/>
              <w:bottom w:val="single" w:sz="4" w:space="0" w:color="auto"/>
              <w:right w:val="single" w:sz="4" w:space="0" w:color="auto"/>
            </w:tcBorders>
            <w:shd w:val="clear" w:color="auto" w:fill="C6D9F1" w:themeFill="text2" w:themeFillTint="33"/>
            <w:noWrap/>
            <w:vAlign w:val="bottom"/>
          </w:tcPr>
          <w:p w:rsidR="005934B2" w:rsidRPr="00651E63" w:rsidRDefault="005934B2" w:rsidP="000366C5">
            <w:pPr>
              <w:jc w:val="center"/>
              <w:rPr>
                <w:rFonts w:ascii="Calibri" w:hAnsi="Calibri"/>
                <w:sz w:val="16"/>
                <w:szCs w:val="16"/>
              </w:rPr>
            </w:pP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tcPr>
          <w:p w:rsidR="005934B2" w:rsidRPr="007B1F0E" w:rsidRDefault="005934B2" w:rsidP="000366C5">
            <w:pPr>
              <w:jc w:val="center"/>
              <w:rPr>
                <w:rFonts w:ascii="Calibri" w:hAnsi="Calibri"/>
                <w:sz w:val="16"/>
                <w:szCs w:val="16"/>
                <w:lang w:val="sr-Cyrl-RS"/>
              </w:rPr>
            </w:pPr>
            <w:r>
              <w:rPr>
                <w:rFonts w:ascii="Calibri" w:hAnsi="Calibri"/>
                <w:sz w:val="16"/>
                <w:szCs w:val="16"/>
                <w:lang w:val="sr-Cyrl-RS"/>
              </w:rPr>
              <w:t>30 .</w:t>
            </w:r>
          </w:p>
        </w:tc>
        <w:tc>
          <w:tcPr>
            <w:tcW w:w="1276" w:type="dxa"/>
            <w:tcBorders>
              <w:top w:val="nil"/>
              <w:left w:val="nil"/>
              <w:bottom w:val="single" w:sz="4" w:space="0" w:color="auto"/>
              <w:right w:val="single" w:sz="4" w:space="0" w:color="auto"/>
            </w:tcBorders>
            <w:shd w:val="clear" w:color="auto" w:fill="auto"/>
            <w:noWrap/>
            <w:vAlign w:val="bottom"/>
          </w:tcPr>
          <w:p w:rsidR="005934B2" w:rsidRPr="00651E63" w:rsidRDefault="005934B2" w:rsidP="000366C5">
            <w:pPr>
              <w:jc w:val="left"/>
              <w:rPr>
                <w:rFonts w:ascii="Calibri" w:hAnsi="Calibri"/>
                <w:sz w:val="16"/>
                <w:szCs w:val="16"/>
              </w:rPr>
            </w:pPr>
            <w:r w:rsidRPr="00651E63">
              <w:rPr>
                <w:rFonts w:ascii="Calibri" w:hAnsi="Calibri"/>
                <w:sz w:val="16"/>
                <w:szCs w:val="16"/>
              </w:rPr>
              <w:t>VDVS-O-A Vodovod Srbac</w:t>
            </w:r>
          </w:p>
        </w:tc>
        <w:tc>
          <w:tcPr>
            <w:tcW w:w="1356"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1.250.000,00</w:t>
            </w:r>
          </w:p>
        </w:tc>
        <w:tc>
          <w:tcPr>
            <w:tcW w:w="770"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2.500</w:t>
            </w:r>
          </w:p>
        </w:tc>
        <w:tc>
          <w:tcPr>
            <w:tcW w:w="1134"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250.000,00</w:t>
            </w:r>
          </w:p>
        </w:tc>
        <w:tc>
          <w:tcPr>
            <w:tcW w:w="851"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5,00%</w:t>
            </w:r>
          </w:p>
        </w:tc>
        <w:tc>
          <w:tcPr>
            <w:tcW w:w="992"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15.10.2018.</w:t>
            </w:r>
          </w:p>
        </w:tc>
        <w:tc>
          <w:tcPr>
            <w:tcW w:w="992"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160.707,90</w:t>
            </w:r>
          </w:p>
        </w:tc>
        <w:tc>
          <w:tcPr>
            <w:tcW w:w="1051"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15.10.2030.</w:t>
            </w:r>
          </w:p>
        </w:tc>
      </w:tr>
      <w:tr w:rsidR="005934B2" w:rsidRPr="00651E63" w:rsidTr="000366C5">
        <w:trPr>
          <w:trHeight w:val="315"/>
        </w:trPr>
        <w:tc>
          <w:tcPr>
            <w:tcW w:w="582" w:type="dxa"/>
            <w:tcBorders>
              <w:top w:val="nil"/>
              <w:left w:val="single" w:sz="4" w:space="0" w:color="auto"/>
              <w:bottom w:val="single" w:sz="4" w:space="0" w:color="auto"/>
              <w:right w:val="single" w:sz="4" w:space="0" w:color="auto"/>
            </w:tcBorders>
            <w:shd w:val="clear" w:color="auto" w:fill="auto"/>
            <w:noWrap/>
            <w:vAlign w:val="bottom"/>
          </w:tcPr>
          <w:p w:rsidR="005934B2" w:rsidRPr="007B1F0E" w:rsidRDefault="005934B2" w:rsidP="000366C5">
            <w:pPr>
              <w:jc w:val="center"/>
              <w:rPr>
                <w:rFonts w:ascii="Calibri" w:hAnsi="Calibri"/>
                <w:sz w:val="16"/>
                <w:szCs w:val="16"/>
                <w:lang w:val="sr-Cyrl-RS"/>
              </w:rPr>
            </w:pPr>
            <w:r>
              <w:rPr>
                <w:rFonts w:ascii="Calibri" w:hAnsi="Calibri"/>
                <w:sz w:val="16"/>
                <w:szCs w:val="16"/>
                <w:lang w:val="sr-Cyrl-RS"/>
              </w:rPr>
              <w:t>31 .</w:t>
            </w:r>
          </w:p>
        </w:tc>
        <w:tc>
          <w:tcPr>
            <w:tcW w:w="1276" w:type="dxa"/>
            <w:tcBorders>
              <w:top w:val="nil"/>
              <w:left w:val="nil"/>
              <w:bottom w:val="single" w:sz="4" w:space="0" w:color="auto"/>
              <w:right w:val="single" w:sz="4" w:space="0" w:color="auto"/>
            </w:tcBorders>
            <w:shd w:val="clear" w:color="auto" w:fill="auto"/>
            <w:noWrap/>
            <w:vAlign w:val="bottom"/>
          </w:tcPr>
          <w:p w:rsidR="005934B2" w:rsidRPr="00651E63" w:rsidRDefault="005934B2" w:rsidP="000366C5">
            <w:pPr>
              <w:jc w:val="left"/>
              <w:rPr>
                <w:rFonts w:ascii="Calibri" w:hAnsi="Calibri"/>
                <w:sz w:val="16"/>
                <w:szCs w:val="16"/>
              </w:rPr>
            </w:pPr>
            <w:r w:rsidRPr="00651E63">
              <w:rPr>
                <w:rFonts w:ascii="Calibri" w:hAnsi="Calibri"/>
                <w:sz w:val="16"/>
                <w:szCs w:val="16"/>
              </w:rPr>
              <w:t>KMSR-O-A Komunalac  Srbac</w:t>
            </w:r>
          </w:p>
        </w:tc>
        <w:tc>
          <w:tcPr>
            <w:tcW w:w="1356"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410.000,00</w:t>
            </w:r>
          </w:p>
        </w:tc>
        <w:tc>
          <w:tcPr>
            <w:tcW w:w="770"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2.000</w:t>
            </w:r>
          </w:p>
        </w:tc>
        <w:tc>
          <w:tcPr>
            <w:tcW w:w="1134"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200.000,00</w:t>
            </w:r>
          </w:p>
        </w:tc>
        <w:tc>
          <w:tcPr>
            <w:tcW w:w="851"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6,00%</w:t>
            </w:r>
          </w:p>
        </w:tc>
        <w:tc>
          <w:tcPr>
            <w:tcW w:w="992"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01.10.2019.</w:t>
            </w:r>
          </w:p>
        </w:tc>
        <w:tc>
          <w:tcPr>
            <w:tcW w:w="992"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131.026,01</w:t>
            </w:r>
          </w:p>
        </w:tc>
        <w:tc>
          <w:tcPr>
            <w:tcW w:w="1051" w:type="dxa"/>
            <w:tcBorders>
              <w:top w:val="nil"/>
              <w:left w:val="nil"/>
              <w:bottom w:val="single" w:sz="4" w:space="0" w:color="auto"/>
              <w:right w:val="single" w:sz="4" w:space="0" w:color="auto"/>
            </w:tcBorders>
            <w:shd w:val="clear" w:color="auto" w:fill="auto"/>
            <w:noWrap/>
            <w:vAlign w:val="center"/>
          </w:tcPr>
          <w:p w:rsidR="005934B2" w:rsidRPr="00651E63" w:rsidRDefault="005934B2" w:rsidP="000366C5">
            <w:pPr>
              <w:jc w:val="right"/>
              <w:rPr>
                <w:rFonts w:ascii="Calibri" w:hAnsi="Calibri"/>
                <w:sz w:val="16"/>
                <w:szCs w:val="16"/>
              </w:rPr>
            </w:pPr>
            <w:r w:rsidRPr="00651E63">
              <w:rPr>
                <w:rFonts w:ascii="Calibri" w:hAnsi="Calibri"/>
                <w:sz w:val="16"/>
                <w:szCs w:val="16"/>
              </w:rPr>
              <w:t>01.10.2031.</w:t>
            </w:r>
          </w:p>
        </w:tc>
      </w:tr>
      <w:tr w:rsidR="005934B2" w:rsidRPr="00651E63" w:rsidTr="000366C5">
        <w:trPr>
          <w:trHeight w:val="300"/>
        </w:trPr>
        <w:tc>
          <w:tcPr>
            <w:tcW w:w="1858" w:type="dxa"/>
            <w:gridSpan w:val="2"/>
            <w:tcBorders>
              <w:top w:val="single" w:sz="4" w:space="0" w:color="auto"/>
              <w:left w:val="single" w:sz="4" w:space="0" w:color="auto"/>
              <w:bottom w:val="single" w:sz="4" w:space="0" w:color="auto"/>
              <w:right w:val="single" w:sz="4" w:space="0" w:color="000000"/>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UKUPNO HOV PRIVREDNIH DRUŠTAVA (2)</w:t>
            </w:r>
          </w:p>
        </w:tc>
        <w:tc>
          <w:tcPr>
            <w:tcW w:w="1356" w:type="dxa"/>
            <w:tcBorders>
              <w:top w:val="nil"/>
              <w:left w:val="nil"/>
              <w:bottom w:val="single" w:sz="4" w:space="0" w:color="auto"/>
              <w:right w:val="single" w:sz="4" w:space="0" w:color="auto"/>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770" w:type="dxa"/>
            <w:tcBorders>
              <w:top w:val="nil"/>
              <w:left w:val="nil"/>
              <w:bottom w:val="single" w:sz="4" w:space="0" w:color="auto"/>
              <w:right w:val="single" w:sz="4" w:space="0" w:color="auto"/>
            </w:tcBorders>
            <w:shd w:val="clear" w:color="000000" w:fill="C5D9F1"/>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1134"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right"/>
              <w:rPr>
                <w:rFonts w:ascii="Calibri" w:hAnsi="Calibri"/>
                <w:b/>
                <w:bCs/>
                <w:sz w:val="16"/>
                <w:szCs w:val="16"/>
              </w:rPr>
            </w:pPr>
            <w:r w:rsidRPr="00651E63">
              <w:rPr>
                <w:rFonts w:ascii="Calibri" w:hAnsi="Calibri"/>
                <w:b/>
                <w:bCs/>
                <w:sz w:val="16"/>
                <w:szCs w:val="16"/>
              </w:rPr>
              <w:t>450.000,00</w:t>
            </w:r>
          </w:p>
        </w:tc>
        <w:tc>
          <w:tcPr>
            <w:tcW w:w="851"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left"/>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 </w:t>
            </w:r>
          </w:p>
        </w:tc>
        <w:tc>
          <w:tcPr>
            <w:tcW w:w="992" w:type="dxa"/>
            <w:tcBorders>
              <w:top w:val="nil"/>
              <w:left w:val="nil"/>
              <w:bottom w:val="single" w:sz="4" w:space="0" w:color="auto"/>
              <w:right w:val="single" w:sz="4" w:space="0" w:color="auto"/>
            </w:tcBorders>
            <w:shd w:val="clear" w:color="000000" w:fill="C5D9F1"/>
            <w:noWrap/>
            <w:vAlign w:val="center"/>
            <w:hideMark/>
          </w:tcPr>
          <w:p w:rsidR="005934B2" w:rsidRPr="00651E63" w:rsidRDefault="005934B2" w:rsidP="000366C5">
            <w:pPr>
              <w:jc w:val="right"/>
              <w:rPr>
                <w:rFonts w:ascii="Calibri" w:hAnsi="Calibri"/>
                <w:b/>
                <w:bCs/>
                <w:sz w:val="16"/>
                <w:szCs w:val="16"/>
              </w:rPr>
            </w:pPr>
            <w:r w:rsidRPr="00651E63">
              <w:rPr>
                <w:rFonts w:ascii="Calibri" w:hAnsi="Calibri"/>
                <w:b/>
                <w:bCs/>
                <w:sz w:val="16"/>
                <w:szCs w:val="16"/>
              </w:rPr>
              <w:t>291.733,91</w:t>
            </w:r>
          </w:p>
        </w:tc>
        <w:tc>
          <w:tcPr>
            <w:tcW w:w="1051" w:type="dxa"/>
            <w:tcBorders>
              <w:top w:val="nil"/>
              <w:left w:val="nil"/>
              <w:bottom w:val="single" w:sz="4" w:space="0" w:color="auto"/>
              <w:right w:val="single" w:sz="4" w:space="0" w:color="auto"/>
            </w:tcBorders>
            <w:shd w:val="clear" w:color="000000" w:fill="C5D9F1"/>
            <w:noWrap/>
            <w:vAlign w:val="bottom"/>
            <w:hideMark/>
          </w:tcPr>
          <w:p w:rsidR="005934B2" w:rsidRPr="00651E63" w:rsidRDefault="005934B2" w:rsidP="000366C5">
            <w:pPr>
              <w:jc w:val="center"/>
              <w:rPr>
                <w:rFonts w:ascii="Calibri" w:hAnsi="Calibri"/>
                <w:b/>
                <w:bCs/>
                <w:sz w:val="16"/>
                <w:szCs w:val="16"/>
              </w:rPr>
            </w:pPr>
            <w:r w:rsidRPr="00651E63">
              <w:rPr>
                <w:rFonts w:ascii="Calibri" w:hAnsi="Calibri"/>
                <w:b/>
                <w:bCs/>
                <w:sz w:val="16"/>
                <w:szCs w:val="16"/>
              </w:rPr>
              <w:t> </w:t>
            </w:r>
          </w:p>
        </w:tc>
      </w:tr>
      <w:tr w:rsidR="005934B2" w:rsidRPr="00651E63" w:rsidTr="000366C5">
        <w:trPr>
          <w:trHeight w:val="315"/>
        </w:trPr>
        <w:tc>
          <w:tcPr>
            <w:tcW w:w="3984" w:type="dxa"/>
            <w:gridSpan w:val="4"/>
            <w:tcBorders>
              <w:top w:val="single" w:sz="4" w:space="0" w:color="auto"/>
              <w:left w:val="single" w:sz="4" w:space="0" w:color="auto"/>
              <w:bottom w:val="single" w:sz="4" w:space="0" w:color="auto"/>
              <w:right w:val="single" w:sz="4" w:space="0" w:color="000000"/>
            </w:tcBorders>
            <w:shd w:val="clear" w:color="000000" w:fill="8DB4E2"/>
            <w:noWrap/>
            <w:vAlign w:val="center"/>
            <w:hideMark/>
          </w:tcPr>
          <w:p w:rsidR="005934B2" w:rsidRPr="00651E63" w:rsidRDefault="005934B2" w:rsidP="000366C5">
            <w:pPr>
              <w:jc w:val="center"/>
              <w:rPr>
                <w:rFonts w:ascii="Calibri" w:hAnsi="Calibri"/>
                <w:b/>
                <w:bCs/>
                <w:i/>
                <w:iCs/>
                <w:sz w:val="16"/>
                <w:szCs w:val="16"/>
              </w:rPr>
            </w:pPr>
            <w:r w:rsidRPr="00651E63">
              <w:rPr>
                <w:rFonts w:ascii="Calibri" w:hAnsi="Calibri"/>
                <w:b/>
                <w:bCs/>
                <w:i/>
                <w:iCs/>
                <w:sz w:val="16"/>
                <w:szCs w:val="16"/>
              </w:rPr>
              <w:t>UKUPNO HOV (31)</w:t>
            </w:r>
          </w:p>
        </w:tc>
        <w:tc>
          <w:tcPr>
            <w:tcW w:w="1134" w:type="dxa"/>
            <w:tcBorders>
              <w:top w:val="nil"/>
              <w:left w:val="nil"/>
              <w:bottom w:val="single" w:sz="4" w:space="0" w:color="auto"/>
              <w:right w:val="single" w:sz="4" w:space="0" w:color="auto"/>
            </w:tcBorders>
            <w:shd w:val="clear" w:color="000000" w:fill="8DB4E2"/>
            <w:noWrap/>
            <w:vAlign w:val="center"/>
            <w:hideMark/>
          </w:tcPr>
          <w:p w:rsidR="005934B2" w:rsidRPr="00651E63" w:rsidRDefault="005934B2" w:rsidP="000366C5">
            <w:pPr>
              <w:jc w:val="right"/>
              <w:rPr>
                <w:rFonts w:ascii="Calibri" w:hAnsi="Calibri"/>
                <w:b/>
                <w:bCs/>
                <w:i/>
                <w:iCs/>
                <w:sz w:val="16"/>
                <w:szCs w:val="16"/>
              </w:rPr>
            </w:pPr>
            <w:r w:rsidRPr="00651E63">
              <w:rPr>
                <w:rFonts w:ascii="Calibri" w:hAnsi="Calibri"/>
                <w:b/>
                <w:bCs/>
                <w:i/>
                <w:iCs/>
                <w:sz w:val="16"/>
                <w:szCs w:val="16"/>
              </w:rPr>
              <w:t>9.688.069,23</w:t>
            </w:r>
          </w:p>
        </w:tc>
        <w:tc>
          <w:tcPr>
            <w:tcW w:w="851" w:type="dxa"/>
            <w:tcBorders>
              <w:top w:val="nil"/>
              <w:left w:val="nil"/>
              <w:bottom w:val="single" w:sz="4" w:space="0" w:color="auto"/>
              <w:right w:val="single" w:sz="4" w:space="0" w:color="auto"/>
            </w:tcBorders>
            <w:shd w:val="clear" w:color="000000" w:fill="8DB4E2"/>
            <w:noWrap/>
            <w:vAlign w:val="center"/>
            <w:hideMark/>
          </w:tcPr>
          <w:p w:rsidR="005934B2" w:rsidRPr="00651E63" w:rsidRDefault="005934B2" w:rsidP="000366C5">
            <w:pPr>
              <w:jc w:val="left"/>
              <w:rPr>
                <w:rFonts w:ascii="Calibri" w:hAnsi="Calibri"/>
                <w:b/>
                <w:bCs/>
                <w:i/>
                <w:iCs/>
                <w:sz w:val="16"/>
                <w:szCs w:val="16"/>
              </w:rPr>
            </w:pPr>
            <w:r w:rsidRPr="00651E63">
              <w:rPr>
                <w:rFonts w:ascii="Calibri" w:hAnsi="Calibri"/>
                <w:b/>
                <w:bCs/>
                <w:i/>
                <w:iCs/>
                <w:sz w:val="16"/>
                <w:szCs w:val="16"/>
              </w:rPr>
              <w:t> </w:t>
            </w:r>
          </w:p>
        </w:tc>
        <w:tc>
          <w:tcPr>
            <w:tcW w:w="992" w:type="dxa"/>
            <w:tcBorders>
              <w:top w:val="nil"/>
              <w:left w:val="nil"/>
              <w:bottom w:val="single" w:sz="4" w:space="0" w:color="auto"/>
              <w:right w:val="single" w:sz="4" w:space="0" w:color="auto"/>
            </w:tcBorders>
            <w:shd w:val="clear" w:color="000000" w:fill="8DB4E2"/>
            <w:noWrap/>
            <w:vAlign w:val="center"/>
            <w:hideMark/>
          </w:tcPr>
          <w:p w:rsidR="005934B2" w:rsidRPr="00651E63" w:rsidRDefault="005934B2" w:rsidP="000366C5">
            <w:pPr>
              <w:jc w:val="center"/>
              <w:rPr>
                <w:rFonts w:ascii="Calibri" w:hAnsi="Calibri"/>
                <w:b/>
                <w:bCs/>
                <w:i/>
                <w:iCs/>
                <w:sz w:val="16"/>
                <w:szCs w:val="16"/>
              </w:rPr>
            </w:pPr>
            <w:r w:rsidRPr="00651E63">
              <w:rPr>
                <w:rFonts w:ascii="Calibri" w:hAnsi="Calibri"/>
                <w:b/>
                <w:bCs/>
                <w:i/>
                <w:iCs/>
                <w:sz w:val="16"/>
                <w:szCs w:val="16"/>
              </w:rPr>
              <w:t> </w:t>
            </w:r>
          </w:p>
        </w:tc>
        <w:tc>
          <w:tcPr>
            <w:tcW w:w="992" w:type="dxa"/>
            <w:tcBorders>
              <w:top w:val="nil"/>
              <w:left w:val="nil"/>
              <w:bottom w:val="single" w:sz="4" w:space="0" w:color="auto"/>
              <w:right w:val="single" w:sz="4" w:space="0" w:color="auto"/>
            </w:tcBorders>
            <w:shd w:val="clear" w:color="000000" w:fill="8DB4E2"/>
            <w:noWrap/>
            <w:vAlign w:val="center"/>
            <w:hideMark/>
          </w:tcPr>
          <w:p w:rsidR="005934B2" w:rsidRPr="00651E63" w:rsidRDefault="005934B2" w:rsidP="000366C5">
            <w:pPr>
              <w:ind w:right="-108"/>
              <w:jc w:val="right"/>
              <w:rPr>
                <w:rFonts w:ascii="Calibri" w:hAnsi="Calibri"/>
                <w:b/>
                <w:bCs/>
                <w:i/>
                <w:iCs/>
                <w:sz w:val="16"/>
                <w:szCs w:val="16"/>
              </w:rPr>
            </w:pPr>
            <w:r w:rsidRPr="00651E63">
              <w:rPr>
                <w:rFonts w:ascii="Calibri" w:hAnsi="Calibri"/>
                <w:b/>
                <w:bCs/>
                <w:i/>
                <w:iCs/>
                <w:sz w:val="16"/>
                <w:szCs w:val="16"/>
              </w:rPr>
              <w:t>8.058.536,51</w:t>
            </w:r>
          </w:p>
        </w:tc>
        <w:tc>
          <w:tcPr>
            <w:tcW w:w="1051" w:type="dxa"/>
            <w:tcBorders>
              <w:top w:val="nil"/>
              <w:left w:val="nil"/>
              <w:bottom w:val="single" w:sz="4" w:space="0" w:color="auto"/>
              <w:right w:val="single" w:sz="4" w:space="0" w:color="auto"/>
            </w:tcBorders>
            <w:shd w:val="clear" w:color="000000" w:fill="8DB4E2"/>
            <w:noWrap/>
            <w:vAlign w:val="center"/>
            <w:hideMark/>
          </w:tcPr>
          <w:p w:rsidR="005934B2" w:rsidRPr="00651E63" w:rsidRDefault="005934B2" w:rsidP="000366C5">
            <w:pPr>
              <w:jc w:val="left"/>
              <w:rPr>
                <w:rFonts w:ascii="Calibri" w:hAnsi="Calibri"/>
                <w:b/>
                <w:bCs/>
                <w:i/>
                <w:iCs/>
                <w:sz w:val="16"/>
                <w:szCs w:val="16"/>
              </w:rPr>
            </w:pPr>
            <w:r w:rsidRPr="00651E63">
              <w:rPr>
                <w:rFonts w:ascii="Calibri" w:hAnsi="Calibri"/>
                <w:b/>
                <w:bCs/>
                <w:i/>
                <w:iCs/>
                <w:sz w:val="16"/>
                <w:szCs w:val="16"/>
              </w:rPr>
              <w:t> </w:t>
            </w:r>
          </w:p>
        </w:tc>
      </w:tr>
    </w:tbl>
    <w:p w:rsidR="005934B2" w:rsidRPr="00125192" w:rsidRDefault="005934B2" w:rsidP="00A401F8">
      <w:pPr>
        <w:jc w:val="center"/>
        <w:rPr>
          <w:rFonts w:asciiTheme="minorHAnsi" w:eastAsia="Calibri" w:hAnsiTheme="minorHAnsi"/>
          <w:b/>
          <w:color w:val="auto"/>
          <w:sz w:val="20"/>
          <w:szCs w:val="20"/>
          <w:lang w:val="sr-Cyrl-BA" w:eastAsia="en-US"/>
        </w:rPr>
      </w:pPr>
      <w:bookmarkStart w:id="17" w:name="_Toc135292180"/>
    </w:p>
    <w:bookmarkEnd w:id="17"/>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p>
    <w:p w:rsidR="005934B2" w:rsidRPr="0029169D" w:rsidRDefault="005934B2" w:rsidP="00A401F8">
      <w:pPr>
        <w:spacing w:after="360" w:line="0" w:lineRule="atLeast"/>
        <w:ind w:left="431" w:hanging="431"/>
        <w:outlineLvl w:val="0"/>
        <w:rPr>
          <w:rFonts w:asciiTheme="minorHAnsi" w:hAnsiTheme="minorHAnsi"/>
          <w:b/>
          <w:caps/>
          <w:color w:val="auto"/>
          <w:kern w:val="36"/>
          <w:sz w:val="20"/>
          <w:szCs w:val="20"/>
          <w:lang w:val="sr-Cyrl-RS" w:eastAsia="sr-Latn-CS"/>
        </w:rPr>
      </w:pPr>
      <w:r w:rsidRPr="0029169D">
        <w:rPr>
          <w:rFonts w:asciiTheme="minorHAnsi" w:hAnsiTheme="minorHAnsi"/>
          <w:b/>
          <w:caps/>
          <w:color w:val="auto"/>
          <w:kern w:val="36"/>
          <w:sz w:val="20"/>
          <w:szCs w:val="20"/>
          <w:lang w:val="sr-Cyrl-RS" w:eastAsia="sr-Latn-CS"/>
        </w:rPr>
        <w:t xml:space="preserve">4. </w:t>
      </w:r>
      <w:r w:rsidRPr="0029169D">
        <w:rPr>
          <w:rFonts w:asciiTheme="minorHAnsi" w:hAnsiTheme="minorHAnsi"/>
          <w:b/>
          <w:caps/>
          <w:color w:val="auto"/>
          <w:kern w:val="36"/>
          <w:sz w:val="20"/>
          <w:szCs w:val="20"/>
          <w:lang w:val="sr-Cyrl-CS" w:eastAsia="sr-Latn-CS"/>
        </w:rPr>
        <w:t xml:space="preserve">ANALIZA OSTVARENjA PLANA INVESTICIJA </w:t>
      </w:r>
      <w:r w:rsidRPr="0029169D">
        <w:rPr>
          <w:rFonts w:asciiTheme="minorHAnsi" w:hAnsiTheme="minorHAnsi"/>
          <w:b/>
          <w:caps/>
          <w:color w:val="auto"/>
          <w:kern w:val="36"/>
          <w:sz w:val="20"/>
          <w:szCs w:val="20"/>
          <w:lang w:val="sr-Cyrl-RS" w:eastAsia="sr-Latn-CS"/>
        </w:rPr>
        <w:t xml:space="preserve">U </w:t>
      </w:r>
      <w:r w:rsidRPr="0029169D">
        <w:rPr>
          <w:rFonts w:asciiTheme="minorHAnsi" w:hAnsiTheme="minorHAnsi"/>
          <w:b/>
          <w:caps/>
          <w:color w:val="auto"/>
          <w:kern w:val="36"/>
          <w:sz w:val="20"/>
          <w:szCs w:val="20"/>
          <w:lang w:val="sr-Cyrl-CS" w:eastAsia="sr-Latn-CS"/>
        </w:rPr>
        <w:t>202</w:t>
      </w:r>
      <w:r w:rsidRPr="0029169D">
        <w:rPr>
          <w:rFonts w:asciiTheme="minorHAnsi" w:hAnsiTheme="minorHAnsi"/>
          <w:b/>
          <w:caps/>
          <w:color w:val="auto"/>
          <w:kern w:val="36"/>
          <w:sz w:val="20"/>
          <w:szCs w:val="20"/>
          <w:lang w:val="sr-Cyrl-RS" w:eastAsia="sr-Latn-CS"/>
        </w:rPr>
        <w:t>4</w:t>
      </w:r>
      <w:r w:rsidRPr="0029169D">
        <w:rPr>
          <w:rFonts w:asciiTheme="minorHAnsi" w:hAnsiTheme="minorHAnsi"/>
          <w:b/>
          <w:caps/>
          <w:color w:val="auto"/>
          <w:kern w:val="36"/>
          <w:sz w:val="20"/>
          <w:szCs w:val="20"/>
          <w:lang w:val="sr-Cyrl-CS" w:eastAsia="sr-Latn-CS"/>
        </w:rPr>
        <w:t>. GODIN</w:t>
      </w:r>
      <w:r w:rsidRPr="0029169D">
        <w:rPr>
          <w:rFonts w:asciiTheme="minorHAnsi" w:hAnsiTheme="minorHAnsi"/>
          <w:b/>
          <w:caps/>
          <w:color w:val="auto"/>
          <w:kern w:val="36"/>
          <w:sz w:val="20"/>
          <w:szCs w:val="20"/>
          <w:lang w:val="sr-Cyrl-RS" w:eastAsia="sr-Latn-CS"/>
        </w:rPr>
        <w:t>I</w:t>
      </w:r>
    </w:p>
    <w:p w:rsidR="005934B2" w:rsidRDefault="005934B2" w:rsidP="00A401F8">
      <w:pPr>
        <w:rPr>
          <w:rFonts w:ascii="Calibri" w:hAnsi="Calibri"/>
          <w:bCs/>
          <w:sz w:val="20"/>
          <w:szCs w:val="20"/>
          <w:lang w:val="sr-Cyrl-RS"/>
        </w:rPr>
      </w:pPr>
      <w:r w:rsidRPr="0029169D">
        <w:rPr>
          <w:rFonts w:asciiTheme="minorHAnsi" w:hAnsiTheme="minorHAnsi"/>
          <w:sz w:val="20"/>
          <w:szCs w:val="20"/>
          <w:lang w:val="sr-Cyrl-CS" w:eastAsia="sr-Cyrl-CS"/>
        </w:rPr>
        <w:t xml:space="preserve">Plan investicija je </w:t>
      </w:r>
      <w:r w:rsidRPr="0029169D">
        <w:rPr>
          <w:rFonts w:asciiTheme="minorHAnsi" w:hAnsiTheme="minorHAnsi"/>
          <w:sz w:val="20"/>
          <w:szCs w:val="20"/>
          <w:lang w:val="sr-Cyrl-BA" w:eastAsia="sr-Cyrl-CS"/>
        </w:rPr>
        <w:t>s</w:t>
      </w:r>
      <w:r w:rsidRPr="0029169D">
        <w:rPr>
          <w:rFonts w:asciiTheme="minorHAnsi" w:hAnsiTheme="minorHAnsi"/>
          <w:sz w:val="20"/>
          <w:szCs w:val="20"/>
          <w:lang w:val="sr-Cyrl-CS" w:eastAsia="sr-Cyrl-CS"/>
        </w:rPr>
        <w:t xml:space="preserve">astavni dio plana javnih nabavki za 2024. godinu i rebalansa plana javnih nabavki, a istim su za 2024. godinu planirane investicije u iznosu od 33.200,00 KM. Tokom godine su realizovane investicije u iznosu od </w:t>
      </w:r>
      <w:r w:rsidRPr="0029169D">
        <w:rPr>
          <w:rFonts w:ascii="Calibri" w:hAnsi="Calibri"/>
          <w:bCs/>
          <w:sz w:val="20"/>
          <w:szCs w:val="20"/>
        </w:rPr>
        <w:t>7.179,31</w:t>
      </w:r>
      <w:r w:rsidRPr="0029169D">
        <w:rPr>
          <w:rFonts w:ascii="Calibri" w:hAnsi="Calibri"/>
          <w:bCs/>
          <w:sz w:val="20"/>
          <w:szCs w:val="20"/>
          <w:lang w:val="sr-Cyrl-RS"/>
        </w:rPr>
        <w:t xml:space="preserve"> KM, što je 21,6% planiranog iznosa.</w:t>
      </w:r>
    </w:p>
    <w:p w:rsidR="005934B2" w:rsidRPr="0029169D" w:rsidRDefault="005934B2" w:rsidP="00A401F8">
      <w:pPr>
        <w:rPr>
          <w:rFonts w:ascii="Calibri" w:hAnsi="Calibri"/>
          <w:bCs/>
          <w:sz w:val="20"/>
          <w:szCs w:val="20"/>
          <w:lang w:val="sr-Cyrl-RS"/>
        </w:rPr>
      </w:pPr>
    </w:p>
    <w:p w:rsidR="005934B2" w:rsidRPr="0029169D" w:rsidRDefault="005934B2" w:rsidP="00A401F8">
      <w:pPr>
        <w:rPr>
          <w:rFonts w:asciiTheme="minorHAnsi" w:hAnsiTheme="minorHAnsi"/>
          <w:sz w:val="20"/>
          <w:szCs w:val="20"/>
          <w:lang w:val="sr-Cyrl-CS" w:eastAsia="sr-Cyrl-CS"/>
        </w:rPr>
      </w:pPr>
      <w:r w:rsidRPr="0029169D">
        <w:rPr>
          <w:rFonts w:asciiTheme="minorHAnsi" w:hAnsiTheme="minorHAnsi"/>
          <w:sz w:val="20"/>
          <w:szCs w:val="20"/>
          <w:lang w:val="sr-Cyrl-CS" w:eastAsia="sr-Cyrl-CS"/>
        </w:rPr>
        <w:t xml:space="preserve">Izvršeno je ulaganje u računarsku opremu u iznosu od 6.291,10 KM i antivirus licence u iznosu od 888,21 KM. Planirane aktivnosti koje se tiču nadogradnje softvera garancija i adaptacije poslovnog prostora nisu realizovane u posmatranoj godini. </w:t>
      </w:r>
    </w:p>
    <w:p w:rsidR="005934B2" w:rsidRPr="0029169D" w:rsidRDefault="005934B2" w:rsidP="00A401F8">
      <w:pPr>
        <w:rPr>
          <w:rFonts w:asciiTheme="minorHAnsi" w:hAnsiTheme="minorHAnsi"/>
          <w:sz w:val="20"/>
          <w:szCs w:val="20"/>
          <w:lang w:val="sr-Cyrl-BA" w:eastAsia="sr-Cyrl-CS"/>
        </w:rPr>
      </w:pPr>
    </w:p>
    <w:p w:rsidR="005934B2" w:rsidRPr="0029169D" w:rsidRDefault="005934B2" w:rsidP="00A401F8">
      <w:pPr>
        <w:jc w:val="center"/>
        <w:rPr>
          <w:rFonts w:asciiTheme="minorHAnsi" w:hAnsiTheme="minorHAnsi"/>
          <w:b/>
          <w:sz w:val="20"/>
          <w:szCs w:val="20"/>
          <w:lang w:val="sr-Cyrl-BA" w:eastAsia="sr-Cyrl-CS"/>
        </w:rPr>
      </w:pPr>
      <w:r w:rsidRPr="0029169D">
        <w:rPr>
          <w:rFonts w:asciiTheme="minorHAnsi" w:hAnsiTheme="minorHAnsi"/>
          <w:b/>
          <w:sz w:val="20"/>
          <w:szCs w:val="20"/>
          <w:lang w:val="sr-Cyrl-BA" w:eastAsia="sr-Cyrl-CS"/>
        </w:rPr>
        <w:t>Pregled realizovanih investicija u 2024. godini</w:t>
      </w:r>
    </w:p>
    <w:p w:rsidR="005934B2" w:rsidRPr="0029169D" w:rsidRDefault="005934B2" w:rsidP="00A401F8">
      <w:pPr>
        <w:rPr>
          <w:rFonts w:asciiTheme="minorHAnsi" w:hAnsiTheme="minorHAnsi"/>
          <w:sz w:val="20"/>
          <w:szCs w:val="20"/>
          <w:lang w:val="sr-Cyrl-BA" w:eastAsia="sr-Cyrl-CS"/>
        </w:rPr>
      </w:pPr>
    </w:p>
    <w:p w:rsidR="005934B2" w:rsidRPr="0029169D" w:rsidRDefault="005934B2" w:rsidP="00A401F8">
      <w:pPr>
        <w:ind w:left="7799"/>
        <w:rPr>
          <w:rFonts w:asciiTheme="minorHAnsi" w:hAnsiTheme="minorHAnsi"/>
          <w:b/>
          <w:sz w:val="20"/>
          <w:szCs w:val="20"/>
          <w:lang w:val="sr-Cyrl-BA" w:eastAsia="sr-Cyrl-CS"/>
        </w:rPr>
      </w:pPr>
      <w:r w:rsidRPr="0029169D">
        <w:rPr>
          <w:rFonts w:asciiTheme="minorHAnsi" w:hAnsiTheme="minorHAnsi"/>
          <w:b/>
          <w:sz w:val="20"/>
          <w:szCs w:val="20"/>
          <w:lang w:val="sr-Cyrl-BA" w:eastAsia="sr-Cyrl-CS"/>
        </w:rPr>
        <w:t xml:space="preserve">  Tabela </w:t>
      </w:r>
      <w:r>
        <w:rPr>
          <w:rFonts w:asciiTheme="minorHAnsi" w:hAnsiTheme="minorHAnsi"/>
          <w:b/>
          <w:sz w:val="20"/>
          <w:szCs w:val="20"/>
          <w:lang w:val="sr-Cyrl-BA" w:eastAsia="sr-Cyrl-CS"/>
        </w:rPr>
        <w:t>25</w:t>
      </w:r>
    </w:p>
    <w:tbl>
      <w:tblPr>
        <w:tblW w:w="8789" w:type="dxa"/>
        <w:tblInd w:w="108" w:type="dxa"/>
        <w:tblLook w:val="04A0" w:firstRow="1" w:lastRow="0" w:firstColumn="1" w:lastColumn="0" w:noHBand="0" w:noVBand="1"/>
      </w:tblPr>
      <w:tblGrid>
        <w:gridCol w:w="1134"/>
        <w:gridCol w:w="2977"/>
        <w:gridCol w:w="1701"/>
        <w:gridCol w:w="1559"/>
        <w:gridCol w:w="1418"/>
      </w:tblGrid>
      <w:tr w:rsidR="005934B2" w:rsidRPr="0029169D" w:rsidTr="000366C5">
        <w:trPr>
          <w:trHeight w:val="765"/>
        </w:trPr>
        <w:tc>
          <w:tcPr>
            <w:tcW w:w="1134" w:type="dxa"/>
            <w:tcBorders>
              <w:top w:val="single" w:sz="8" w:space="0" w:color="auto"/>
              <w:left w:val="single" w:sz="8" w:space="0" w:color="auto"/>
              <w:bottom w:val="single" w:sz="4" w:space="0" w:color="auto"/>
              <w:right w:val="single" w:sz="4" w:space="0" w:color="auto"/>
            </w:tcBorders>
            <w:shd w:val="clear" w:color="000000" w:fill="8DB4E2"/>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Redni broj</w:t>
            </w:r>
          </w:p>
        </w:tc>
        <w:tc>
          <w:tcPr>
            <w:tcW w:w="2977" w:type="dxa"/>
            <w:tcBorders>
              <w:top w:val="single" w:sz="8" w:space="0" w:color="auto"/>
              <w:left w:val="nil"/>
              <w:bottom w:val="single" w:sz="4" w:space="0" w:color="auto"/>
              <w:right w:val="single" w:sz="4" w:space="0" w:color="auto"/>
            </w:tcBorders>
            <w:shd w:val="clear" w:color="000000" w:fill="8DB4E2"/>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 xml:space="preserve">Investicije </w:t>
            </w:r>
          </w:p>
        </w:tc>
        <w:tc>
          <w:tcPr>
            <w:tcW w:w="1701" w:type="dxa"/>
            <w:tcBorders>
              <w:top w:val="single" w:sz="8" w:space="0" w:color="auto"/>
              <w:left w:val="nil"/>
              <w:bottom w:val="single" w:sz="4" w:space="0" w:color="auto"/>
              <w:right w:val="single" w:sz="4" w:space="0" w:color="auto"/>
            </w:tcBorders>
            <w:shd w:val="clear" w:color="000000" w:fill="8DB4E2"/>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Planirano u 2024. godini</w:t>
            </w:r>
          </w:p>
        </w:tc>
        <w:tc>
          <w:tcPr>
            <w:tcW w:w="1559" w:type="dxa"/>
            <w:tcBorders>
              <w:top w:val="single" w:sz="8" w:space="0" w:color="auto"/>
              <w:left w:val="nil"/>
              <w:bottom w:val="single" w:sz="4" w:space="0" w:color="auto"/>
              <w:right w:val="single" w:sz="4" w:space="0" w:color="auto"/>
            </w:tcBorders>
            <w:shd w:val="clear" w:color="000000" w:fill="8DB4E2"/>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 xml:space="preserve">Ostvareno u 2024. godini </w:t>
            </w:r>
          </w:p>
        </w:tc>
        <w:tc>
          <w:tcPr>
            <w:tcW w:w="1418" w:type="dxa"/>
            <w:tcBorders>
              <w:top w:val="single" w:sz="8" w:space="0" w:color="auto"/>
              <w:left w:val="nil"/>
              <w:bottom w:val="single" w:sz="4" w:space="0" w:color="auto"/>
              <w:right w:val="single" w:sz="8" w:space="0" w:color="auto"/>
            </w:tcBorders>
            <w:shd w:val="clear" w:color="000000" w:fill="8DB4E2"/>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Indeks</w:t>
            </w:r>
          </w:p>
        </w:tc>
      </w:tr>
      <w:tr w:rsidR="005934B2" w:rsidRPr="0029169D" w:rsidTr="000366C5">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1.</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rPr>
                <w:rFonts w:ascii="Calibri" w:hAnsi="Calibri"/>
                <w:b/>
                <w:bCs/>
                <w:color w:val="auto"/>
                <w:sz w:val="20"/>
                <w:szCs w:val="20"/>
              </w:rPr>
            </w:pPr>
            <w:r w:rsidRPr="0029169D">
              <w:rPr>
                <w:rFonts w:ascii="Calibri" w:hAnsi="Calibri"/>
                <w:b/>
                <w:bCs/>
                <w:color w:val="auto"/>
                <w:sz w:val="20"/>
                <w:szCs w:val="20"/>
              </w:rPr>
              <w:t>Poslovni prostor i inventar</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10.000,00</w:t>
            </w:r>
          </w:p>
        </w:tc>
        <w:tc>
          <w:tcPr>
            <w:tcW w:w="1559"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0,00</w:t>
            </w:r>
          </w:p>
        </w:tc>
      </w:tr>
      <w:tr w:rsidR="005934B2" w:rsidRPr="0029169D" w:rsidTr="000366C5">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1.1.</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rPr>
                <w:rFonts w:ascii="Calibri" w:hAnsi="Calibri"/>
                <w:color w:val="auto"/>
                <w:sz w:val="20"/>
                <w:szCs w:val="20"/>
              </w:rPr>
            </w:pPr>
            <w:r w:rsidRPr="0029169D">
              <w:rPr>
                <w:rFonts w:ascii="Calibri" w:hAnsi="Calibri"/>
                <w:color w:val="auto"/>
                <w:sz w:val="20"/>
                <w:szCs w:val="20"/>
              </w:rPr>
              <w:t>Adaptacija poslovnog prostora</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0,00</w:t>
            </w:r>
          </w:p>
        </w:tc>
      </w:tr>
      <w:tr w:rsidR="005934B2" w:rsidRPr="0029169D" w:rsidTr="000366C5">
        <w:trPr>
          <w:trHeight w:val="34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1.2.</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rPr>
                <w:rFonts w:ascii="Calibri" w:hAnsi="Calibri"/>
                <w:color w:val="auto"/>
                <w:sz w:val="20"/>
                <w:szCs w:val="20"/>
              </w:rPr>
            </w:pPr>
            <w:r w:rsidRPr="0029169D">
              <w:rPr>
                <w:rFonts w:ascii="Calibri" w:hAnsi="Calibri"/>
                <w:color w:val="auto"/>
                <w:sz w:val="20"/>
                <w:szCs w:val="20"/>
              </w:rPr>
              <w:t>Kancelarijski namještaj i oprema</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5.000,00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0,00</w:t>
            </w:r>
          </w:p>
        </w:tc>
      </w:tr>
      <w:tr w:rsidR="005934B2" w:rsidRPr="0029169D" w:rsidTr="000366C5">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2.</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rPr>
                <w:rFonts w:ascii="Calibri" w:hAnsi="Calibri"/>
                <w:b/>
                <w:bCs/>
                <w:color w:val="auto"/>
                <w:sz w:val="20"/>
                <w:szCs w:val="20"/>
              </w:rPr>
            </w:pPr>
            <w:r w:rsidRPr="0029169D">
              <w:rPr>
                <w:rFonts w:ascii="Calibri" w:hAnsi="Calibri"/>
                <w:b/>
                <w:bCs/>
                <w:color w:val="auto"/>
                <w:sz w:val="20"/>
                <w:szCs w:val="20"/>
              </w:rPr>
              <w:t>Računarska i ostala oprema</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13.000,00</w:t>
            </w:r>
          </w:p>
        </w:tc>
        <w:tc>
          <w:tcPr>
            <w:tcW w:w="1559"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b/>
                <w:bCs/>
                <w:color w:val="auto"/>
                <w:sz w:val="20"/>
                <w:szCs w:val="20"/>
              </w:rPr>
            </w:pPr>
            <w:r w:rsidRPr="0029169D">
              <w:rPr>
                <w:rFonts w:ascii="Calibri" w:hAnsi="Calibri"/>
                <w:b/>
                <w:bCs/>
                <w:color w:val="auto"/>
                <w:sz w:val="20"/>
                <w:szCs w:val="20"/>
              </w:rPr>
              <w:t>6.291,10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48,39</w:t>
            </w:r>
          </w:p>
        </w:tc>
      </w:tr>
      <w:tr w:rsidR="005934B2" w:rsidRPr="0029169D" w:rsidTr="000366C5">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2.1.</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rPr>
                <w:rFonts w:ascii="Calibri" w:hAnsi="Calibri"/>
                <w:color w:val="auto"/>
                <w:sz w:val="20"/>
                <w:szCs w:val="20"/>
              </w:rPr>
            </w:pPr>
            <w:r w:rsidRPr="0029169D">
              <w:rPr>
                <w:rFonts w:ascii="Calibri" w:hAnsi="Calibri"/>
                <w:color w:val="auto"/>
                <w:sz w:val="20"/>
                <w:szCs w:val="20"/>
              </w:rPr>
              <w:t>Računarska oprema</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10.000,00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6.291,10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62,91</w:t>
            </w:r>
          </w:p>
        </w:tc>
      </w:tr>
      <w:tr w:rsidR="005934B2" w:rsidRPr="0029169D" w:rsidTr="000366C5">
        <w:trPr>
          <w:trHeight w:val="34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2.2.</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rPr>
                <w:rFonts w:ascii="Calibri" w:hAnsi="Calibri"/>
                <w:color w:val="auto"/>
                <w:sz w:val="20"/>
                <w:szCs w:val="20"/>
              </w:rPr>
            </w:pPr>
            <w:r w:rsidRPr="0029169D">
              <w:rPr>
                <w:rFonts w:ascii="Calibri" w:hAnsi="Calibri"/>
                <w:color w:val="auto"/>
                <w:sz w:val="20"/>
                <w:szCs w:val="20"/>
              </w:rPr>
              <w:t>Ostalo</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3.000,00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0,00</w:t>
            </w:r>
          </w:p>
        </w:tc>
      </w:tr>
      <w:tr w:rsidR="005934B2" w:rsidRPr="0029169D" w:rsidTr="000366C5">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3.</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rPr>
                <w:rFonts w:ascii="Calibri" w:hAnsi="Calibri"/>
                <w:b/>
                <w:bCs/>
                <w:color w:val="auto"/>
                <w:sz w:val="20"/>
                <w:szCs w:val="20"/>
              </w:rPr>
            </w:pPr>
            <w:r w:rsidRPr="0029169D">
              <w:rPr>
                <w:rFonts w:ascii="Calibri" w:hAnsi="Calibri"/>
                <w:b/>
                <w:bCs/>
                <w:color w:val="auto"/>
                <w:sz w:val="20"/>
                <w:szCs w:val="20"/>
              </w:rPr>
              <w:t xml:space="preserve">Programska podrška </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10.200,00</w:t>
            </w:r>
          </w:p>
        </w:tc>
        <w:tc>
          <w:tcPr>
            <w:tcW w:w="1559"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b/>
                <w:bCs/>
                <w:color w:val="auto"/>
                <w:sz w:val="20"/>
                <w:szCs w:val="20"/>
              </w:rPr>
            </w:pPr>
            <w:r w:rsidRPr="0029169D">
              <w:rPr>
                <w:rFonts w:ascii="Calibri" w:hAnsi="Calibri"/>
                <w:b/>
                <w:bCs/>
                <w:color w:val="auto"/>
                <w:sz w:val="20"/>
                <w:szCs w:val="20"/>
              </w:rPr>
              <w:t>888,21</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8,71</w:t>
            </w:r>
          </w:p>
        </w:tc>
      </w:tr>
      <w:tr w:rsidR="005934B2" w:rsidRPr="0029169D" w:rsidTr="000366C5">
        <w:trPr>
          <w:trHeight w:val="900"/>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3.1.</w:t>
            </w:r>
          </w:p>
        </w:tc>
        <w:tc>
          <w:tcPr>
            <w:tcW w:w="2977"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left"/>
              <w:rPr>
                <w:rFonts w:ascii="Calibri" w:hAnsi="Calibri"/>
                <w:sz w:val="20"/>
                <w:szCs w:val="20"/>
              </w:rPr>
            </w:pPr>
            <w:r w:rsidRPr="0029169D">
              <w:rPr>
                <w:rFonts w:ascii="Calibri" w:hAnsi="Calibri"/>
                <w:sz w:val="20"/>
                <w:szCs w:val="20"/>
              </w:rPr>
              <w:t xml:space="preserve">Usluge dorade aplikativnog softvera garancija </w:t>
            </w:r>
            <w:r w:rsidRPr="0029169D">
              <w:rPr>
                <w:rFonts w:ascii="Calibri" w:hAnsi="Calibri"/>
                <w:sz w:val="20"/>
                <w:szCs w:val="20"/>
              </w:rPr>
              <w:br/>
              <w:t>Nadogradnja softvera garancija modulom garancija za HOV</w:t>
            </w:r>
            <w:r w:rsidRPr="0029169D">
              <w:rPr>
                <w:rFonts w:ascii="Calibri" w:hAnsi="Calibri"/>
                <w:sz w:val="20"/>
                <w:szCs w:val="20"/>
              </w:rPr>
              <w:br/>
              <w:t>Izrada softvera  za protokol i upravljanje dokumentacionom građom</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8.000,00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0,00</w:t>
            </w:r>
          </w:p>
        </w:tc>
      </w:tr>
      <w:tr w:rsidR="005934B2" w:rsidRPr="0029169D" w:rsidTr="000366C5">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3.2.</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left"/>
              <w:rPr>
                <w:rFonts w:ascii="Calibri" w:hAnsi="Calibri"/>
                <w:color w:val="auto"/>
                <w:sz w:val="20"/>
                <w:szCs w:val="20"/>
              </w:rPr>
            </w:pPr>
            <w:r w:rsidRPr="0029169D">
              <w:rPr>
                <w:rFonts w:ascii="Calibri" w:hAnsi="Calibri"/>
                <w:color w:val="auto"/>
                <w:sz w:val="20"/>
                <w:szCs w:val="20"/>
              </w:rPr>
              <w:t>Antivirus licence</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1.000,00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888,21</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88,82</w:t>
            </w:r>
          </w:p>
        </w:tc>
      </w:tr>
      <w:tr w:rsidR="005934B2" w:rsidRPr="0029169D" w:rsidTr="000366C5">
        <w:trPr>
          <w:trHeight w:val="315"/>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3.3.</w:t>
            </w:r>
          </w:p>
        </w:tc>
        <w:tc>
          <w:tcPr>
            <w:tcW w:w="2977"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left"/>
              <w:rPr>
                <w:rFonts w:ascii="Calibri" w:hAnsi="Calibri"/>
                <w:color w:val="auto"/>
                <w:sz w:val="20"/>
                <w:szCs w:val="20"/>
              </w:rPr>
            </w:pPr>
            <w:r w:rsidRPr="0029169D">
              <w:rPr>
                <w:rFonts w:ascii="Calibri" w:hAnsi="Calibri"/>
                <w:color w:val="auto"/>
                <w:sz w:val="20"/>
                <w:szCs w:val="20"/>
              </w:rPr>
              <w:t xml:space="preserve">SQL server licenca </w:t>
            </w:r>
          </w:p>
        </w:tc>
        <w:tc>
          <w:tcPr>
            <w:tcW w:w="1701" w:type="dxa"/>
            <w:tcBorders>
              <w:top w:val="nil"/>
              <w:left w:val="nil"/>
              <w:bottom w:val="single" w:sz="4" w:space="0" w:color="auto"/>
              <w:right w:val="single" w:sz="4" w:space="0" w:color="auto"/>
            </w:tcBorders>
            <w:shd w:val="clear" w:color="auto" w:fill="auto"/>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1.200,00</w:t>
            </w:r>
          </w:p>
        </w:tc>
        <w:tc>
          <w:tcPr>
            <w:tcW w:w="1559" w:type="dxa"/>
            <w:tcBorders>
              <w:top w:val="nil"/>
              <w:left w:val="nil"/>
              <w:bottom w:val="single" w:sz="4" w:space="0" w:color="auto"/>
              <w:right w:val="single" w:sz="4" w:space="0" w:color="auto"/>
            </w:tcBorders>
            <w:shd w:val="clear" w:color="auto" w:fill="auto"/>
            <w:noWrap/>
            <w:vAlign w:val="center"/>
            <w:hideMark/>
          </w:tcPr>
          <w:p w:rsidR="005934B2" w:rsidRPr="0029169D" w:rsidRDefault="005934B2" w:rsidP="000366C5">
            <w:pPr>
              <w:jc w:val="right"/>
              <w:rPr>
                <w:rFonts w:ascii="Calibri" w:hAnsi="Calibri"/>
                <w:color w:val="auto"/>
                <w:sz w:val="20"/>
                <w:szCs w:val="20"/>
              </w:rPr>
            </w:pPr>
            <w:r w:rsidRPr="0029169D">
              <w:rPr>
                <w:rFonts w:ascii="Calibri" w:hAnsi="Calibri"/>
                <w:color w:val="auto"/>
                <w:sz w:val="20"/>
                <w:szCs w:val="20"/>
              </w:rPr>
              <w:t>0,00</w:t>
            </w:r>
          </w:p>
        </w:tc>
        <w:tc>
          <w:tcPr>
            <w:tcW w:w="1418" w:type="dxa"/>
            <w:tcBorders>
              <w:top w:val="nil"/>
              <w:left w:val="nil"/>
              <w:bottom w:val="single" w:sz="4" w:space="0" w:color="auto"/>
              <w:right w:val="single" w:sz="8" w:space="0" w:color="auto"/>
            </w:tcBorders>
            <w:shd w:val="clear" w:color="auto" w:fill="auto"/>
            <w:noWrap/>
            <w:vAlign w:val="center"/>
            <w:hideMark/>
          </w:tcPr>
          <w:p w:rsidR="005934B2" w:rsidRPr="0029169D" w:rsidRDefault="005934B2" w:rsidP="000366C5">
            <w:pPr>
              <w:jc w:val="right"/>
              <w:rPr>
                <w:rFonts w:ascii="Calibri" w:hAnsi="Calibri"/>
                <w:sz w:val="20"/>
                <w:szCs w:val="20"/>
              </w:rPr>
            </w:pPr>
            <w:r w:rsidRPr="0029169D">
              <w:rPr>
                <w:rFonts w:ascii="Calibri" w:hAnsi="Calibri"/>
                <w:sz w:val="20"/>
                <w:szCs w:val="20"/>
              </w:rPr>
              <w:t>0,00</w:t>
            </w:r>
          </w:p>
        </w:tc>
      </w:tr>
      <w:tr w:rsidR="005934B2" w:rsidRPr="0029169D" w:rsidTr="000366C5">
        <w:trPr>
          <w:trHeight w:val="330"/>
        </w:trPr>
        <w:tc>
          <w:tcPr>
            <w:tcW w:w="4111" w:type="dxa"/>
            <w:gridSpan w:val="2"/>
            <w:tcBorders>
              <w:top w:val="single" w:sz="4" w:space="0" w:color="auto"/>
              <w:left w:val="single" w:sz="8" w:space="0" w:color="auto"/>
              <w:bottom w:val="single" w:sz="8" w:space="0" w:color="auto"/>
              <w:right w:val="single" w:sz="4" w:space="0" w:color="auto"/>
            </w:tcBorders>
            <w:shd w:val="clear" w:color="000000" w:fill="8DB4E2"/>
            <w:noWrap/>
            <w:vAlign w:val="center"/>
            <w:hideMark/>
          </w:tcPr>
          <w:p w:rsidR="005934B2" w:rsidRPr="0029169D" w:rsidRDefault="005934B2" w:rsidP="000366C5">
            <w:pPr>
              <w:jc w:val="center"/>
              <w:rPr>
                <w:rFonts w:ascii="Calibri" w:hAnsi="Calibri"/>
                <w:b/>
                <w:bCs/>
                <w:color w:val="auto"/>
                <w:sz w:val="20"/>
                <w:szCs w:val="20"/>
              </w:rPr>
            </w:pPr>
            <w:r w:rsidRPr="0029169D">
              <w:rPr>
                <w:rFonts w:ascii="Calibri" w:hAnsi="Calibri"/>
                <w:b/>
                <w:bCs/>
                <w:color w:val="auto"/>
                <w:sz w:val="20"/>
                <w:szCs w:val="20"/>
              </w:rPr>
              <w:t>UKUPNO</w:t>
            </w:r>
          </w:p>
        </w:tc>
        <w:tc>
          <w:tcPr>
            <w:tcW w:w="1701" w:type="dxa"/>
            <w:tcBorders>
              <w:top w:val="nil"/>
              <w:left w:val="nil"/>
              <w:bottom w:val="single" w:sz="8" w:space="0" w:color="auto"/>
              <w:right w:val="single" w:sz="4" w:space="0" w:color="auto"/>
            </w:tcBorders>
            <w:shd w:val="clear" w:color="000000" w:fill="8DB4E2"/>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33.200,00</w:t>
            </w:r>
          </w:p>
        </w:tc>
        <w:tc>
          <w:tcPr>
            <w:tcW w:w="1559" w:type="dxa"/>
            <w:tcBorders>
              <w:top w:val="nil"/>
              <w:left w:val="nil"/>
              <w:bottom w:val="single" w:sz="8" w:space="0" w:color="auto"/>
              <w:right w:val="single" w:sz="4" w:space="0" w:color="auto"/>
            </w:tcBorders>
            <w:shd w:val="clear" w:color="000000" w:fill="8DB4E2"/>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7.179,31</w:t>
            </w:r>
          </w:p>
        </w:tc>
        <w:tc>
          <w:tcPr>
            <w:tcW w:w="1418" w:type="dxa"/>
            <w:tcBorders>
              <w:top w:val="nil"/>
              <w:left w:val="nil"/>
              <w:bottom w:val="single" w:sz="8" w:space="0" w:color="auto"/>
              <w:right w:val="single" w:sz="8" w:space="0" w:color="auto"/>
            </w:tcBorders>
            <w:shd w:val="clear" w:color="000000" w:fill="8DB4E2"/>
            <w:noWrap/>
            <w:vAlign w:val="center"/>
            <w:hideMark/>
          </w:tcPr>
          <w:p w:rsidR="005934B2" w:rsidRPr="0029169D" w:rsidRDefault="005934B2" w:rsidP="000366C5">
            <w:pPr>
              <w:jc w:val="right"/>
              <w:rPr>
                <w:rFonts w:ascii="Calibri" w:hAnsi="Calibri"/>
                <w:b/>
                <w:bCs/>
                <w:sz w:val="20"/>
                <w:szCs w:val="20"/>
              </w:rPr>
            </w:pPr>
            <w:r w:rsidRPr="0029169D">
              <w:rPr>
                <w:rFonts w:ascii="Calibri" w:hAnsi="Calibri"/>
                <w:b/>
                <w:bCs/>
                <w:sz w:val="20"/>
                <w:szCs w:val="20"/>
              </w:rPr>
              <w:t>21,62</w:t>
            </w:r>
          </w:p>
        </w:tc>
      </w:tr>
    </w:tbl>
    <w:p w:rsidR="005934B2" w:rsidRPr="0029169D" w:rsidRDefault="005934B2" w:rsidP="00A401F8">
      <w:pPr>
        <w:spacing w:after="200" w:line="276" w:lineRule="auto"/>
        <w:jc w:val="left"/>
        <w:rPr>
          <w:rFonts w:asciiTheme="minorHAnsi" w:hAnsiTheme="minorHAnsi"/>
          <w:sz w:val="20"/>
          <w:szCs w:val="20"/>
          <w:lang w:val="sr-Cyrl-BA" w:eastAsia="sr-Cyrl-CS"/>
        </w:rPr>
      </w:pPr>
      <w:r w:rsidRPr="0029169D">
        <w:rPr>
          <w:rFonts w:asciiTheme="minorHAnsi" w:hAnsiTheme="minorHAnsi"/>
          <w:sz w:val="20"/>
          <w:szCs w:val="20"/>
          <w:lang w:val="sr-Cyrl-BA" w:eastAsia="sr-Cyrl-CS"/>
        </w:rPr>
        <w:br w:type="page"/>
      </w:r>
    </w:p>
    <w:p w:rsidR="005934B2" w:rsidRPr="005767EF" w:rsidRDefault="005934B2" w:rsidP="00A401F8">
      <w:pPr>
        <w:rPr>
          <w:rFonts w:asciiTheme="minorHAnsi" w:hAnsiTheme="minorHAnsi"/>
          <w:sz w:val="20"/>
          <w:szCs w:val="20"/>
          <w:lang w:val="sr-Cyrl-BA" w:eastAsia="sr-Cyrl-CS"/>
        </w:rPr>
      </w:pPr>
    </w:p>
    <w:p w:rsidR="005934B2" w:rsidRPr="00FF183D" w:rsidRDefault="005934B2" w:rsidP="005934B2">
      <w:pPr>
        <w:pStyle w:val="Heading1"/>
        <w:numPr>
          <w:ilvl w:val="0"/>
          <w:numId w:val="0"/>
        </w:numPr>
        <w:ind w:left="431"/>
        <w:jc w:val="center"/>
        <w:rPr>
          <w:rFonts w:asciiTheme="minorHAnsi" w:hAnsiTheme="minorHAnsi"/>
          <w:lang w:val="sr-Cyrl-BA"/>
        </w:rPr>
      </w:pPr>
      <w:bookmarkStart w:id="18" w:name="_Toc135292181"/>
      <w:r w:rsidRPr="00FF183D">
        <w:rPr>
          <w:rFonts w:asciiTheme="minorHAnsi" w:hAnsiTheme="minorHAnsi"/>
          <w:lang w:val="sr-Cyrl-BA"/>
        </w:rPr>
        <w:t>ZAKLjUČAK</w:t>
      </w:r>
      <w:bookmarkEnd w:id="18"/>
    </w:p>
    <w:p w:rsidR="005934B2" w:rsidRDefault="005934B2" w:rsidP="005934B2">
      <w:pPr>
        <w:spacing w:line="276" w:lineRule="auto"/>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 xml:space="preserve">Garantni </w:t>
      </w:r>
      <w:r w:rsidRPr="008D7B5A">
        <w:rPr>
          <w:rFonts w:asciiTheme="minorHAnsi" w:hAnsiTheme="minorHAnsi"/>
          <w:color w:val="000000" w:themeColor="text1"/>
          <w:sz w:val="20"/>
          <w:szCs w:val="20"/>
          <w:lang w:val="sr-Cyrl-BA"/>
        </w:rPr>
        <w:t>fond</w:t>
      </w:r>
      <w:r>
        <w:rPr>
          <w:rFonts w:asciiTheme="minorHAnsi" w:hAnsiTheme="minorHAnsi"/>
          <w:color w:val="000000" w:themeColor="text1"/>
          <w:sz w:val="20"/>
          <w:szCs w:val="20"/>
          <w:lang w:val="sr-Cyrl-BA"/>
        </w:rPr>
        <w:t xml:space="preserve"> Republike Srpske je tokom</w:t>
      </w:r>
      <w:r w:rsidRPr="008D7B5A">
        <w:rPr>
          <w:rFonts w:asciiTheme="minorHAnsi" w:hAnsiTheme="minorHAnsi"/>
          <w:color w:val="000000" w:themeColor="text1"/>
          <w:sz w:val="20"/>
          <w:szCs w:val="20"/>
          <w:lang w:val="sr-Cyrl-BA"/>
        </w:rPr>
        <w:t xml:space="preserve"> 202</w:t>
      </w:r>
      <w:r>
        <w:rPr>
          <w:rFonts w:asciiTheme="minorHAnsi" w:hAnsiTheme="minorHAnsi"/>
          <w:color w:val="000000" w:themeColor="text1"/>
          <w:sz w:val="20"/>
          <w:szCs w:val="20"/>
          <w:lang w:val="sr-Cyrl-BA"/>
        </w:rPr>
        <w:t>4</w:t>
      </w:r>
      <w:r w:rsidRPr="008D7B5A">
        <w:rPr>
          <w:rFonts w:asciiTheme="minorHAnsi" w:hAnsiTheme="minorHAnsi"/>
          <w:color w:val="000000" w:themeColor="text1"/>
          <w:sz w:val="20"/>
          <w:szCs w:val="20"/>
          <w:lang w:val="sr-Cyrl-BA"/>
        </w:rPr>
        <w:t xml:space="preserve">. godine </w:t>
      </w:r>
      <w:r>
        <w:rPr>
          <w:rFonts w:asciiTheme="minorHAnsi" w:hAnsiTheme="minorHAnsi"/>
          <w:color w:val="000000" w:themeColor="text1"/>
          <w:sz w:val="20"/>
          <w:szCs w:val="20"/>
          <w:lang w:val="sr-Cyrl-BA"/>
        </w:rPr>
        <w:t xml:space="preserve">nastavio sa redovnim aktivnostima koje se tiču praćenja postojećih i izdavanja novih garancija, a garantna aktivnost se </w:t>
      </w:r>
      <w:r w:rsidRPr="008D7B5A">
        <w:rPr>
          <w:rFonts w:asciiTheme="minorHAnsi" w:hAnsiTheme="minorHAnsi"/>
          <w:color w:val="000000" w:themeColor="text1"/>
          <w:sz w:val="20"/>
          <w:szCs w:val="20"/>
          <w:lang w:val="sr-Cyrl-BA"/>
        </w:rPr>
        <w:t>odvijala u tri segmenta: izdavanje pojedinačnih garancija, izdavanje garancija na kreditni portf</w:t>
      </w:r>
      <w:r>
        <w:rPr>
          <w:rFonts w:asciiTheme="minorHAnsi" w:hAnsiTheme="minorHAnsi"/>
          <w:color w:val="000000" w:themeColor="text1"/>
          <w:sz w:val="20"/>
          <w:szCs w:val="20"/>
          <w:lang w:val="sr-Cyrl-BA"/>
        </w:rPr>
        <w:t>elj</w:t>
      </w:r>
      <w:r w:rsidRPr="008D7B5A">
        <w:rPr>
          <w:rFonts w:asciiTheme="minorHAnsi" w:hAnsiTheme="minorHAnsi"/>
          <w:color w:val="000000" w:themeColor="text1"/>
          <w:sz w:val="20"/>
          <w:szCs w:val="20"/>
          <w:lang w:val="sr-Cyrl-BA"/>
        </w:rPr>
        <w:t xml:space="preserve"> i izdavanje garancija na emitovane hartije od vrijednosti. </w:t>
      </w:r>
    </w:p>
    <w:p w:rsidR="005934B2" w:rsidRDefault="005934B2" w:rsidP="005934B2">
      <w:pPr>
        <w:spacing w:line="276" w:lineRule="auto"/>
        <w:rPr>
          <w:rFonts w:asciiTheme="minorHAnsi" w:hAnsiTheme="minorHAnsi"/>
          <w:color w:val="000000" w:themeColor="text1"/>
          <w:sz w:val="20"/>
          <w:szCs w:val="20"/>
          <w:lang w:val="sr-Cyrl-BA"/>
        </w:rPr>
      </w:pPr>
    </w:p>
    <w:p w:rsidR="005934B2" w:rsidRDefault="005934B2" w:rsidP="005934B2">
      <w:pPr>
        <w:pStyle w:val="Heading2"/>
        <w:numPr>
          <w:ilvl w:val="0"/>
          <w:numId w:val="0"/>
        </w:numPr>
        <w:rPr>
          <w:rFonts w:asciiTheme="minorHAnsi" w:hAnsiTheme="minorHAnsi"/>
          <w:color w:val="000000" w:themeColor="text1"/>
          <w:szCs w:val="20"/>
          <w:lang w:val="sr-Cyrl-RS"/>
        </w:rPr>
      </w:pPr>
      <w:r w:rsidRPr="008D7B5A">
        <w:rPr>
          <w:rFonts w:asciiTheme="minorHAnsi" w:hAnsiTheme="minorHAnsi"/>
          <w:color w:val="000000" w:themeColor="text1"/>
          <w:szCs w:val="20"/>
          <w:lang w:val="sr-Cyrl-BA"/>
        </w:rPr>
        <w:t>Na osnovu Ugovora o poslovno</w:t>
      </w:r>
      <w:r w:rsidRPr="008D7B5A">
        <w:rPr>
          <w:rFonts w:asciiTheme="minorHAnsi" w:hAnsiTheme="minorHAnsi"/>
          <w:color w:val="000000" w:themeColor="text1"/>
          <w:szCs w:val="20"/>
        </w:rPr>
        <w:t>-</w:t>
      </w:r>
      <w:r w:rsidRPr="008D7B5A">
        <w:rPr>
          <w:rFonts w:asciiTheme="minorHAnsi" w:hAnsiTheme="minorHAnsi"/>
          <w:color w:val="000000" w:themeColor="text1"/>
          <w:szCs w:val="20"/>
          <w:lang w:val="sr-Cyrl-BA"/>
        </w:rPr>
        <w:t>tehničkoj saradnji potpisanih sa finans</w:t>
      </w:r>
      <w:r>
        <w:rPr>
          <w:rFonts w:asciiTheme="minorHAnsi" w:hAnsiTheme="minorHAnsi"/>
          <w:color w:val="000000" w:themeColor="text1"/>
          <w:szCs w:val="20"/>
          <w:lang w:val="sr-Cyrl-BA"/>
        </w:rPr>
        <w:t>ijskim posrednicima koji uz doz</w:t>
      </w:r>
      <w:r w:rsidRPr="008D7B5A">
        <w:rPr>
          <w:rFonts w:asciiTheme="minorHAnsi" w:hAnsiTheme="minorHAnsi"/>
          <w:color w:val="000000" w:themeColor="text1"/>
          <w:szCs w:val="20"/>
          <w:lang w:val="sr-Cyrl-BA"/>
        </w:rPr>
        <w:t>volu Agencije za bankarstvo Republike Srpske posluju na području Republike Srpske i u skladu s o</w:t>
      </w:r>
      <w:r w:rsidRPr="008D7B5A">
        <w:rPr>
          <w:rFonts w:asciiTheme="minorHAnsi" w:hAnsiTheme="minorHAnsi"/>
          <w:noProof/>
          <w:color w:val="000000" w:themeColor="text1"/>
          <w:szCs w:val="20"/>
          <w:lang w:val="sr-Cyrl-RS"/>
        </w:rPr>
        <w:t>dredbama člana 3 Pravilnika o odobravanju garancija („Službeni glasnik Republike Srpske“, broj 14</w:t>
      </w:r>
      <w:r w:rsidRPr="008D7B5A">
        <w:rPr>
          <w:rFonts w:asciiTheme="minorHAnsi" w:hAnsiTheme="minorHAnsi"/>
          <w:noProof/>
          <w:color w:val="000000" w:themeColor="text1"/>
          <w:szCs w:val="20"/>
        </w:rPr>
        <w:t>/</w:t>
      </w:r>
      <w:r w:rsidRPr="008D7B5A">
        <w:rPr>
          <w:rFonts w:asciiTheme="minorHAnsi" w:hAnsiTheme="minorHAnsi"/>
          <w:noProof/>
          <w:color w:val="000000" w:themeColor="text1"/>
          <w:szCs w:val="20"/>
          <w:lang w:val="sr-Cyrl-BA"/>
        </w:rPr>
        <w:t>21</w:t>
      </w:r>
      <w:r w:rsidRPr="008D7B5A">
        <w:rPr>
          <w:rFonts w:asciiTheme="minorHAnsi" w:hAnsiTheme="minorHAnsi"/>
          <w:noProof/>
          <w:color w:val="000000" w:themeColor="text1"/>
          <w:szCs w:val="20"/>
          <w:lang w:val="sr-Cyrl-RS"/>
        </w:rPr>
        <w:t>)</w:t>
      </w:r>
      <w:r>
        <w:rPr>
          <w:rFonts w:asciiTheme="minorHAnsi" w:hAnsiTheme="minorHAnsi"/>
          <w:color w:val="000000" w:themeColor="text1"/>
          <w:szCs w:val="20"/>
          <w:lang w:val="sr-Cyrl-BA"/>
        </w:rPr>
        <w:t>, te na osnovu potpisanih ugovor</w:t>
      </w:r>
      <w:r w:rsidRPr="00215F23">
        <w:rPr>
          <w:rFonts w:asciiTheme="minorHAnsi" w:hAnsiTheme="minorHAnsi"/>
          <w:color w:val="000000" w:themeColor="text1"/>
          <w:szCs w:val="20"/>
          <w:lang w:val="sr-Cyrl-BA"/>
        </w:rPr>
        <w:t>a o garantovanju kreditnog portfelja sa finansijskim posrednicima</w:t>
      </w:r>
      <w:r w:rsidRPr="00215F23">
        <w:rPr>
          <w:rFonts w:asciiTheme="minorHAnsi" w:hAnsiTheme="minorHAnsi"/>
          <w:color w:val="000000" w:themeColor="text1"/>
          <w:szCs w:val="20"/>
        </w:rPr>
        <w:t xml:space="preserve">, </w:t>
      </w:r>
      <w:r>
        <w:rPr>
          <w:rFonts w:asciiTheme="minorHAnsi" w:hAnsiTheme="minorHAnsi"/>
          <w:color w:val="000000" w:themeColor="text1"/>
          <w:szCs w:val="20"/>
          <w:lang w:val="sr-Cyrl-RS"/>
        </w:rPr>
        <w:t xml:space="preserve">Garantni fond je u 2024. godini izdao 101 garanciju u iznosu od 15.787.275,00 KM, čime je podržano 31.574.550,00 KM kreditnih plasmana preduzetnicima i malim i srednjim preduzećima širom Republike Srpske. Od osnivanja do danas, izdane garancije Fonda su premašile vrijednost od 111 miliona KM, čime je omogućen plasman 278 miliona KM kreditnih sredstava. </w:t>
      </w:r>
    </w:p>
    <w:p w:rsidR="005934B2" w:rsidRDefault="005934B2" w:rsidP="005934B2">
      <w:pPr>
        <w:spacing w:line="276" w:lineRule="auto"/>
        <w:rPr>
          <w:rFonts w:asciiTheme="minorHAnsi" w:hAnsiTheme="minorHAnsi"/>
          <w:color w:val="000000" w:themeColor="text1"/>
          <w:sz w:val="20"/>
          <w:szCs w:val="20"/>
          <w:lang w:val="sr-Cyrl-BA"/>
        </w:rPr>
      </w:pPr>
    </w:p>
    <w:p w:rsidR="005934B2" w:rsidRDefault="005934B2" w:rsidP="005934B2">
      <w:pPr>
        <w:spacing w:line="276" w:lineRule="auto"/>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 xml:space="preserve">Od 2020. godine je primjetna sve veća orijentacija finansijskih posrednika na odobravanje kredita u okviru portfelja kredita, s obzirom na brojne prednosti u vidu skraćenja procedure odobravanja i jednostavnijeg postupka za samog klijenta. Značajna prednost ovog načina odobravanja je u tome što se trošak izdavanja garancije prebacuje na finansijskog posrednika, za razliku od pojedinačnih garancija gdje troškove snosi klijent. </w:t>
      </w:r>
    </w:p>
    <w:p w:rsidR="005934B2" w:rsidRDefault="005934B2" w:rsidP="005934B2">
      <w:pPr>
        <w:spacing w:line="276" w:lineRule="auto"/>
        <w:rPr>
          <w:rFonts w:asciiTheme="minorHAnsi" w:hAnsiTheme="minorHAnsi"/>
          <w:color w:val="000000" w:themeColor="text1"/>
          <w:sz w:val="20"/>
          <w:szCs w:val="20"/>
          <w:lang w:val="sr-Cyrl-RS"/>
        </w:rPr>
      </w:pPr>
    </w:p>
    <w:p w:rsidR="005934B2" w:rsidRDefault="005934B2" w:rsidP="005934B2">
      <w:pPr>
        <w:spacing w:line="276" w:lineRule="auto"/>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RS"/>
        </w:rPr>
        <w:t xml:space="preserve">Tokom godine, uredno su otplaćeni krediti odobreni u nominalnom iznosu od 15.101.749,40 KM, čime su van snage stavljene garancije u iznosu od 6.138.430,00 KM, te </w:t>
      </w:r>
      <w:r w:rsidRPr="00DE3404">
        <w:rPr>
          <w:rFonts w:asciiTheme="minorHAnsi" w:hAnsiTheme="minorHAnsi"/>
          <w:color w:val="000000" w:themeColor="text1"/>
          <w:sz w:val="20"/>
          <w:szCs w:val="20"/>
          <w:lang w:val="sr-Cyrl-RS"/>
        </w:rPr>
        <w:t xml:space="preserve">je značajno smanjena izloženost Garantnog fonda po ovom osnovu. </w:t>
      </w:r>
      <w:r w:rsidRPr="00DE3404">
        <w:rPr>
          <w:rFonts w:asciiTheme="minorHAnsi" w:hAnsiTheme="minorHAnsi"/>
          <w:color w:val="000000" w:themeColor="text1"/>
          <w:sz w:val="20"/>
          <w:szCs w:val="20"/>
          <w:lang w:val="sr-Cyrl-BA"/>
        </w:rPr>
        <w:t xml:space="preserve">Na dan 31.12.2024. godine, ukupna izloženost Garantnog fonda prema korisnicima garancija u tri navedena segmenta iznosi </w:t>
      </w:r>
      <w:r w:rsidRPr="00DE3404">
        <w:rPr>
          <w:rFonts w:ascii="Calibri" w:hAnsi="Calibri"/>
          <w:bCs/>
          <w:color w:val="auto"/>
          <w:sz w:val="20"/>
          <w:szCs w:val="20"/>
        </w:rPr>
        <w:t>24.837.046,28</w:t>
      </w:r>
      <w:r>
        <w:rPr>
          <w:rFonts w:ascii="Calibri" w:hAnsi="Calibri"/>
          <w:bCs/>
          <w:color w:val="auto"/>
          <w:sz w:val="20"/>
          <w:szCs w:val="20"/>
          <w:lang w:val="sr-Cyrl-RS"/>
        </w:rPr>
        <w:t xml:space="preserve"> </w:t>
      </w:r>
      <w:r w:rsidRPr="00DE3404">
        <w:rPr>
          <w:rFonts w:asciiTheme="minorHAnsi" w:hAnsiTheme="minorHAnsi"/>
          <w:color w:val="000000" w:themeColor="text1"/>
          <w:sz w:val="20"/>
          <w:szCs w:val="20"/>
          <w:lang w:val="sr-Cyrl-BA"/>
        </w:rPr>
        <w:t>KM i predstavlja maksimalnu potencijalnu obavezu Garantnog fonda koja se zasniva na stanju aktivnih garancija na navedeni dan. Ukupna izloženost je u okviru Zakonom dozvoljene maksimalne</w:t>
      </w:r>
      <w:r>
        <w:rPr>
          <w:rFonts w:asciiTheme="minorHAnsi" w:hAnsiTheme="minorHAnsi"/>
          <w:color w:val="000000" w:themeColor="text1"/>
          <w:sz w:val="20"/>
          <w:szCs w:val="20"/>
          <w:lang w:val="sr-Cyrl-BA"/>
        </w:rPr>
        <w:t xml:space="preserve"> izloženosti koje je definisana na nivou trostruke vrijednosti osnovnog kapitala, odnosno 90.000.000,00 KM.</w:t>
      </w:r>
      <w:r w:rsidRPr="00646C62">
        <w:rPr>
          <w:rFonts w:asciiTheme="minorHAnsi" w:hAnsiTheme="minorHAnsi"/>
          <w:color w:val="000000" w:themeColor="text1"/>
          <w:sz w:val="20"/>
          <w:szCs w:val="20"/>
          <w:lang w:val="sr-Cyrl-BA"/>
        </w:rPr>
        <w:t xml:space="preserve">  </w:t>
      </w:r>
    </w:p>
    <w:p w:rsidR="005934B2" w:rsidRDefault="005934B2" w:rsidP="005934B2">
      <w:pPr>
        <w:spacing w:line="276" w:lineRule="auto"/>
        <w:rPr>
          <w:rFonts w:asciiTheme="minorHAnsi" w:hAnsiTheme="minorHAnsi"/>
          <w:color w:val="000000" w:themeColor="text1"/>
          <w:sz w:val="20"/>
          <w:szCs w:val="20"/>
          <w:lang w:val="sr-Cyrl-RS"/>
        </w:rPr>
      </w:pPr>
    </w:p>
    <w:p w:rsidR="005934B2" w:rsidRDefault="005934B2" w:rsidP="005934B2">
      <w:pPr>
        <w:spacing w:line="276" w:lineRule="auto"/>
        <w:rPr>
          <w:rFonts w:asciiTheme="minorHAnsi" w:hAnsiTheme="minorHAnsi"/>
          <w:color w:val="000000" w:themeColor="text1"/>
          <w:sz w:val="20"/>
          <w:szCs w:val="20"/>
          <w:lang w:val="sr-Cyrl-BA"/>
        </w:rPr>
      </w:pPr>
      <w:r w:rsidRPr="00C83692">
        <w:rPr>
          <w:rFonts w:asciiTheme="minorHAnsi" w:hAnsiTheme="minorHAnsi"/>
          <w:color w:val="000000" w:themeColor="text1"/>
          <w:sz w:val="20"/>
          <w:szCs w:val="20"/>
          <w:lang w:val="sr-Cyrl-BA"/>
        </w:rPr>
        <w:t>Pored navedenog, Garantni fond je u 202</w:t>
      </w:r>
      <w:r>
        <w:rPr>
          <w:rFonts w:asciiTheme="minorHAnsi" w:hAnsiTheme="minorHAnsi"/>
          <w:color w:val="000000" w:themeColor="text1"/>
          <w:sz w:val="20"/>
          <w:szCs w:val="20"/>
          <w:lang w:val="sr-Cyrl-BA"/>
        </w:rPr>
        <w:t>4</w:t>
      </w:r>
      <w:r w:rsidRPr="00C83692">
        <w:rPr>
          <w:rFonts w:asciiTheme="minorHAnsi" w:hAnsiTheme="minorHAnsi"/>
          <w:color w:val="000000" w:themeColor="text1"/>
          <w:sz w:val="20"/>
          <w:szCs w:val="20"/>
          <w:lang w:val="sr-Cyrl-BA"/>
        </w:rPr>
        <w:t xml:space="preserve">. godini nastavio sa aktivnostima koje se tiču provođenja Garantnog programa Vlade Republike Srpske. </w:t>
      </w:r>
      <w:r w:rsidRPr="00090FC2">
        <w:rPr>
          <w:rFonts w:asciiTheme="minorHAnsi" w:hAnsiTheme="minorHAnsi"/>
          <w:color w:val="000000" w:themeColor="text1"/>
          <w:sz w:val="20"/>
          <w:szCs w:val="20"/>
          <w:lang w:val="sr-Cyrl-BA"/>
        </w:rPr>
        <w:t xml:space="preserve">Garantni fond Republike Srpske upravlja Garantnim programom u ime i za račun Republike Srpske, poštujući zakon kojim je regulisano njegovo poslovanje, Odluku o Garantnom programu i druge prateće akte. Iako je Garantni program završen 31.12.2022. godine, u smislu da nije moguće uključivanje novih kredita u portfolio, Fond </w:t>
      </w:r>
      <w:r>
        <w:rPr>
          <w:rFonts w:asciiTheme="minorHAnsi" w:hAnsiTheme="minorHAnsi"/>
          <w:color w:val="000000" w:themeColor="text1"/>
          <w:sz w:val="20"/>
          <w:szCs w:val="20"/>
          <w:lang w:val="sr-Cyrl-BA"/>
        </w:rPr>
        <w:t>je tokom 2024. godine nastavio sa</w:t>
      </w:r>
      <w:r w:rsidRPr="00090FC2">
        <w:rPr>
          <w:rFonts w:asciiTheme="minorHAnsi" w:hAnsiTheme="minorHAnsi"/>
          <w:color w:val="000000" w:themeColor="text1"/>
          <w:sz w:val="20"/>
          <w:szCs w:val="20"/>
          <w:lang w:val="sr-Cyrl-BA"/>
        </w:rPr>
        <w:t xml:space="preserve"> aktivnosti</w:t>
      </w:r>
      <w:r>
        <w:rPr>
          <w:rFonts w:asciiTheme="minorHAnsi" w:hAnsiTheme="minorHAnsi"/>
          <w:color w:val="000000" w:themeColor="text1"/>
          <w:sz w:val="20"/>
          <w:szCs w:val="20"/>
          <w:lang w:val="sr-Cyrl-BA"/>
        </w:rPr>
        <w:t>ma</w:t>
      </w:r>
      <w:r w:rsidRPr="00090FC2">
        <w:rPr>
          <w:rFonts w:asciiTheme="minorHAnsi" w:hAnsiTheme="minorHAnsi"/>
          <w:color w:val="000000" w:themeColor="text1"/>
          <w:sz w:val="20"/>
          <w:szCs w:val="20"/>
          <w:lang w:val="sr-Cyrl-BA"/>
        </w:rPr>
        <w:t xml:space="preserve"> koje se tiču p</w:t>
      </w:r>
      <w:r>
        <w:rPr>
          <w:rFonts w:asciiTheme="minorHAnsi" w:hAnsiTheme="minorHAnsi"/>
          <w:color w:val="000000" w:themeColor="text1"/>
          <w:sz w:val="20"/>
          <w:szCs w:val="20"/>
          <w:lang w:val="sr-Cyrl-BA"/>
        </w:rPr>
        <w:t xml:space="preserve">raćenja stanja aktivnih kredita, vršenja terenskih kontrola i sačinjavanja mjesečnih, odnosno kvartalnih izvještaja. </w:t>
      </w:r>
      <w:r w:rsidRPr="00090FC2">
        <w:rPr>
          <w:rFonts w:asciiTheme="minorHAnsi" w:hAnsiTheme="minorHAnsi"/>
          <w:color w:val="000000" w:themeColor="text1"/>
          <w:sz w:val="20"/>
          <w:szCs w:val="20"/>
          <w:lang w:val="sr-Cyrl-BA"/>
        </w:rPr>
        <w:t xml:space="preserve">Pored postojećeg ljudskog kadra koji je uključen u provođenje navedenih aktivnosti, Garantni fond je izvršio i sva potrebna materijalna i nematerijalna ulaganja za efikasno praćenje Programa, uključujući </w:t>
      </w:r>
      <w:r>
        <w:rPr>
          <w:rFonts w:asciiTheme="minorHAnsi" w:hAnsiTheme="minorHAnsi"/>
          <w:color w:val="000000" w:themeColor="text1"/>
          <w:sz w:val="20"/>
          <w:szCs w:val="20"/>
          <w:lang w:val="sr-Cyrl-BA"/>
        </w:rPr>
        <w:t xml:space="preserve">kontinuirano </w:t>
      </w:r>
      <w:r w:rsidRPr="00090FC2">
        <w:rPr>
          <w:rFonts w:asciiTheme="minorHAnsi" w:hAnsiTheme="minorHAnsi"/>
          <w:color w:val="000000" w:themeColor="text1"/>
          <w:sz w:val="20"/>
          <w:szCs w:val="20"/>
          <w:lang w:val="sr-Cyrl-BA"/>
        </w:rPr>
        <w:t>ulaganje u softver i prateću opremu.</w:t>
      </w:r>
    </w:p>
    <w:p w:rsidR="005934B2" w:rsidRDefault="005934B2" w:rsidP="005934B2">
      <w:pPr>
        <w:spacing w:line="276" w:lineRule="auto"/>
        <w:rPr>
          <w:rFonts w:asciiTheme="minorHAnsi" w:hAnsiTheme="minorHAnsi"/>
          <w:color w:val="000000" w:themeColor="text1"/>
          <w:sz w:val="20"/>
          <w:szCs w:val="20"/>
          <w:lang w:val="sr-Cyrl-BA"/>
        </w:rPr>
      </w:pPr>
    </w:p>
    <w:p w:rsidR="005934B2" w:rsidRPr="00C83692" w:rsidRDefault="005934B2" w:rsidP="005934B2">
      <w:pPr>
        <w:spacing w:line="276" w:lineRule="auto"/>
        <w:rPr>
          <w:rFonts w:asciiTheme="minorHAnsi" w:hAnsiTheme="minorHAnsi"/>
          <w:color w:val="000000" w:themeColor="text1"/>
          <w:sz w:val="20"/>
          <w:szCs w:val="20"/>
          <w:lang w:val="sr-Cyrl-BA"/>
        </w:rPr>
      </w:pPr>
      <w:r>
        <w:rPr>
          <w:rFonts w:asciiTheme="minorHAnsi" w:hAnsiTheme="minorHAnsi"/>
          <w:color w:val="000000" w:themeColor="text1"/>
          <w:sz w:val="20"/>
          <w:szCs w:val="20"/>
          <w:lang w:val="sr-Cyrl-BA"/>
        </w:rPr>
        <w:t>Garantni fond je nastavio saradnju sa Evropskom asocijacijom garantnih institucija, putem koje razmjenjuje pozitivna iskustva i prakse, te prati najnovija dešavanja na evropskom tržištu garancija.</w:t>
      </w:r>
    </w:p>
    <w:p w:rsidR="005934B2" w:rsidRDefault="005934B2" w:rsidP="005934B2">
      <w:pPr>
        <w:spacing w:line="276" w:lineRule="auto"/>
        <w:rPr>
          <w:rFonts w:asciiTheme="minorHAnsi" w:hAnsiTheme="minorHAnsi"/>
          <w:color w:val="auto"/>
          <w:sz w:val="20"/>
          <w:szCs w:val="20"/>
          <w:lang w:val="sr-Cyrl-BA" w:eastAsia="sr-Cyrl-CS"/>
        </w:rPr>
      </w:pPr>
    </w:p>
    <w:p w:rsidR="005934B2" w:rsidRPr="005934B2" w:rsidRDefault="005934B2" w:rsidP="005934B2">
      <w:pPr>
        <w:spacing w:line="276" w:lineRule="auto"/>
        <w:rPr>
          <w:rFonts w:asciiTheme="minorHAnsi" w:eastAsia="Calibri" w:hAnsiTheme="minorHAnsi"/>
          <w:color w:val="auto"/>
          <w:sz w:val="20"/>
          <w:szCs w:val="20"/>
          <w:lang w:val="sr-Cyrl-BA" w:eastAsia="en-US"/>
        </w:rPr>
      </w:pPr>
      <w:r w:rsidRPr="00575C8E">
        <w:rPr>
          <w:rFonts w:asciiTheme="minorHAnsi" w:eastAsia="Calibri" w:hAnsiTheme="minorHAnsi"/>
          <w:color w:val="auto"/>
          <w:sz w:val="20"/>
          <w:szCs w:val="20"/>
          <w:lang w:val="en-GB" w:eastAsia="en-US"/>
        </w:rPr>
        <w:t>U 202</w:t>
      </w:r>
      <w:r w:rsidRPr="00575C8E">
        <w:rPr>
          <w:rFonts w:asciiTheme="minorHAnsi" w:eastAsia="Calibri" w:hAnsiTheme="minorHAnsi"/>
          <w:color w:val="auto"/>
          <w:sz w:val="20"/>
          <w:szCs w:val="20"/>
          <w:lang w:val="sr-Cyrl-BA" w:eastAsia="en-US"/>
        </w:rPr>
        <w:t>4</w:t>
      </w:r>
      <w:r w:rsidRPr="00575C8E">
        <w:rPr>
          <w:rFonts w:asciiTheme="minorHAnsi" w:eastAsia="Calibri" w:hAnsiTheme="minorHAnsi"/>
          <w:color w:val="auto"/>
          <w:sz w:val="20"/>
          <w:szCs w:val="20"/>
          <w:lang w:val="en-GB" w:eastAsia="en-US"/>
        </w:rPr>
        <w:t>. godini</w:t>
      </w:r>
      <w:r>
        <w:rPr>
          <w:rFonts w:asciiTheme="minorHAnsi" w:eastAsia="Calibri" w:hAnsiTheme="minorHAnsi"/>
          <w:color w:val="auto"/>
          <w:sz w:val="20"/>
          <w:szCs w:val="20"/>
          <w:lang w:val="sr-Cyrl-RS" w:eastAsia="en-US"/>
        </w:rPr>
        <w:t>,</w:t>
      </w:r>
      <w:r w:rsidRPr="00575C8E">
        <w:rPr>
          <w:rFonts w:asciiTheme="minorHAnsi" w:eastAsia="Calibri" w:hAnsiTheme="minorHAnsi"/>
          <w:color w:val="auto"/>
          <w:sz w:val="20"/>
          <w:szCs w:val="20"/>
          <w:lang w:val="en-GB" w:eastAsia="en-US"/>
        </w:rPr>
        <w:t xml:space="preserve"> </w:t>
      </w:r>
      <w:r w:rsidRPr="00575C8E">
        <w:rPr>
          <w:rFonts w:asciiTheme="minorHAnsi" w:eastAsia="Calibri" w:hAnsiTheme="minorHAnsi"/>
          <w:color w:val="auto"/>
          <w:sz w:val="20"/>
          <w:szCs w:val="20"/>
          <w:lang w:val="sr-Cyrl-RS" w:eastAsia="en-US"/>
        </w:rPr>
        <w:t>Garantni f</w:t>
      </w:r>
      <w:r w:rsidRPr="00575C8E">
        <w:rPr>
          <w:rFonts w:asciiTheme="minorHAnsi" w:eastAsia="Calibri" w:hAnsiTheme="minorHAnsi"/>
          <w:color w:val="auto"/>
          <w:sz w:val="20"/>
          <w:szCs w:val="20"/>
          <w:lang w:val="en-GB" w:eastAsia="en-US"/>
        </w:rPr>
        <w:t xml:space="preserve">ond </w:t>
      </w:r>
      <w:r w:rsidRPr="00575C8E">
        <w:rPr>
          <w:rFonts w:asciiTheme="minorHAnsi" w:eastAsia="Calibri" w:hAnsiTheme="minorHAnsi"/>
          <w:color w:val="auto"/>
          <w:sz w:val="20"/>
          <w:szCs w:val="20"/>
          <w:lang w:val="sr-Cyrl-BA" w:eastAsia="en-US"/>
        </w:rPr>
        <w:t xml:space="preserve">je ostvario </w:t>
      </w:r>
      <w:r>
        <w:rPr>
          <w:rFonts w:asciiTheme="minorHAnsi" w:eastAsia="Calibri" w:hAnsiTheme="minorHAnsi"/>
          <w:color w:val="auto"/>
          <w:sz w:val="20"/>
          <w:szCs w:val="20"/>
          <w:lang w:val="sr-Cyrl-BA" w:eastAsia="en-US"/>
        </w:rPr>
        <w:t xml:space="preserve">ukupne prihode u iznosu od 1.670.371,79 KM i ukupne rashode u iznosu od 2.656.957,48 KM. Fond je poslovao negativno, sa gubitkom u iznosu od </w:t>
      </w:r>
      <w:r w:rsidRPr="00575C8E">
        <w:rPr>
          <w:rFonts w:asciiTheme="minorHAnsi" w:eastAsia="Calibri" w:hAnsiTheme="minorHAnsi"/>
          <w:color w:val="auto"/>
          <w:sz w:val="20"/>
          <w:szCs w:val="20"/>
          <w:lang w:val="sr-Cyrl-BA" w:eastAsia="en-US"/>
        </w:rPr>
        <w:t xml:space="preserve"> 9</w:t>
      </w:r>
      <w:r w:rsidRPr="00575C8E">
        <w:rPr>
          <w:rFonts w:asciiTheme="minorHAnsi" w:eastAsia="Calibri" w:hAnsiTheme="minorHAnsi"/>
          <w:color w:val="auto"/>
          <w:sz w:val="20"/>
          <w:szCs w:val="20"/>
          <w:lang w:eastAsia="en-US"/>
        </w:rPr>
        <w:t>86</w:t>
      </w:r>
      <w:r w:rsidRPr="00575C8E">
        <w:rPr>
          <w:rFonts w:asciiTheme="minorHAnsi" w:eastAsia="Calibri" w:hAnsiTheme="minorHAnsi"/>
          <w:color w:val="auto"/>
          <w:sz w:val="20"/>
          <w:szCs w:val="20"/>
          <w:lang w:val="sr-Cyrl-BA" w:eastAsia="en-US"/>
        </w:rPr>
        <w:t xml:space="preserve">.585,69 KM. </w:t>
      </w:r>
      <w:r>
        <w:rPr>
          <w:rFonts w:asciiTheme="minorHAnsi" w:eastAsia="Calibri" w:hAnsiTheme="minorHAnsi"/>
          <w:color w:val="auto"/>
          <w:sz w:val="20"/>
          <w:szCs w:val="20"/>
          <w:lang w:val="sr-Cyrl-BA" w:eastAsia="en-US"/>
        </w:rPr>
        <w:t>Na o</w:t>
      </w:r>
      <w:r w:rsidRPr="00575C8E">
        <w:rPr>
          <w:rFonts w:asciiTheme="minorHAnsi" w:eastAsia="Calibri" w:hAnsiTheme="minorHAnsi"/>
          <w:color w:val="auto"/>
          <w:sz w:val="20"/>
          <w:szCs w:val="20"/>
          <w:lang w:val="sr-Cyrl-BA" w:eastAsia="en-US"/>
        </w:rPr>
        <w:t xml:space="preserve">stvareni gubitak </w:t>
      </w:r>
      <w:r>
        <w:rPr>
          <w:rFonts w:asciiTheme="minorHAnsi" w:eastAsia="Calibri" w:hAnsiTheme="minorHAnsi"/>
          <w:color w:val="auto"/>
          <w:sz w:val="20"/>
          <w:szCs w:val="20"/>
          <w:lang w:val="sr-Cyrl-BA" w:eastAsia="en-US"/>
        </w:rPr>
        <w:t>u 2024. godini je najviše  uticalo neostvarenje</w:t>
      </w:r>
      <w:r w:rsidRPr="00575C8E">
        <w:rPr>
          <w:rFonts w:asciiTheme="minorHAnsi" w:eastAsia="Calibri" w:hAnsiTheme="minorHAnsi"/>
          <w:color w:val="auto"/>
          <w:sz w:val="20"/>
          <w:szCs w:val="20"/>
          <w:lang w:val="sr-Cyrl-BA" w:eastAsia="en-US"/>
        </w:rPr>
        <w:t xml:space="preserve"> plan</w:t>
      </w:r>
      <w:r>
        <w:rPr>
          <w:rFonts w:asciiTheme="minorHAnsi" w:eastAsia="Calibri" w:hAnsiTheme="minorHAnsi"/>
          <w:color w:val="auto"/>
          <w:sz w:val="20"/>
          <w:szCs w:val="20"/>
          <w:lang w:val="sr-Cyrl-BA" w:eastAsia="en-US"/>
        </w:rPr>
        <w:t xml:space="preserve">a prihoda od izdanih garancija, rast rashoda uslijed  događaja koji se nisu mogli predvidjeti, te isplate po protestovanim garancijama. </w:t>
      </w:r>
    </w:p>
    <w:p w:rsidR="005934B2" w:rsidRPr="00DE3404" w:rsidRDefault="005934B2" w:rsidP="005934B2">
      <w:pPr>
        <w:spacing w:line="276" w:lineRule="auto"/>
        <w:rPr>
          <w:rFonts w:asciiTheme="minorHAnsi" w:eastAsia="Calibri" w:hAnsiTheme="minorHAnsi"/>
          <w:color w:val="000000" w:themeColor="text1"/>
          <w:sz w:val="20"/>
          <w:szCs w:val="20"/>
          <w:lang w:val="sr-Cyrl-BA" w:eastAsia="en-US"/>
        </w:rPr>
      </w:pPr>
    </w:p>
    <w:p w:rsidR="005934B2" w:rsidRDefault="005934B2" w:rsidP="005934B2">
      <w:pPr>
        <w:spacing w:line="276" w:lineRule="auto"/>
        <w:ind w:right="-142"/>
        <w:rPr>
          <w:rFonts w:asciiTheme="minorHAnsi" w:eastAsia="Calibri" w:hAnsiTheme="minorHAnsi"/>
          <w:color w:val="auto"/>
          <w:sz w:val="20"/>
          <w:szCs w:val="20"/>
          <w:lang w:val="sr-Cyrl-BA" w:eastAsia="en-US"/>
        </w:rPr>
      </w:pPr>
      <w:r w:rsidRPr="009B6FAB">
        <w:rPr>
          <w:rFonts w:asciiTheme="minorHAnsi" w:eastAsiaTheme="minorHAnsi" w:hAnsiTheme="minorHAnsi"/>
          <w:color w:val="auto"/>
          <w:sz w:val="20"/>
          <w:szCs w:val="20"/>
          <w:lang w:val="sr-Latn-RS" w:eastAsia="en-US"/>
        </w:rPr>
        <w:t>Reviziju finansijskih izvještaja za poslovnu 202</w:t>
      </w:r>
      <w:r>
        <w:rPr>
          <w:rFonts w:asciiTheme="minorHAnsi" w:eastAsiaTheme="minorHAnsi" w:hAnsiTheme="minorHAnsi"/>
          <w:color w:val="auto"/>
          <w:sz w:val="20"/>
          <w:szCs w:val="20"/>
          <w:lang w:val="sr-Cyrl-BA" w:eastAsia="en-US"/>
        </w:rPr>
        <w:t>4</w:t>
      </w:r>
      <w:r w:rsidRPr="009B6FAB">
        <w:rPr>
          <w:rFonts w:asciiTheme="minorHAnsi" w:eastAsiaTheme="minorHAnsi" w:hAnsiTheme="minorHAnsi"/>
          <w:color w:val="auto"/>
          <w:sz w:val="20"/>
          <w:szCs w:val="20"/>
          <w:lang w:val="sr-Latn-RS" w:eastAsia="en-US"/>
        </w:rPr>
        <w:t>. godinu je obavila revizorska kuća „Revizor“ d.o.o.</w:t>
      </w:r>
      <w:r w:rsidRPr="009B6FAB">
        <w:rPr>
          <w:rFonts w:asciiTheme="minorHAnsi" w:eastAsiaTheme="minorHAnsi" w:hAnsiTheme="minorHAnsi"/>
          <w:color w:val="auto"/>
          <w:sz w:val="20"/>
          <w:szCs w:val="20"/>
          <w:lang w:val="sr-Cyrl-BA" w:eastAsia="en-US"/>
        </w:rPr>
        <w:t xml:space="preserve"> </w:t>
      </w:r>
      <w:r w:rsidRPr="009B6FAB">
        <w:rPr>
          <w:rFonts w:asciiTheme="minorHAnsi" w:eastAsiaTheme="minorHAnsi" w:hAnsiTheme="minorHAnsi"/>
          <w:color w:val="auto"/>
          <w:sz w:val="20"/>
          <w:szCs w:val="20"/>
          <w:lang w:val="sr-Latn-RS" w:eastAsia="en-US"/>
        </w:rPr>
        <w:t>Doboj i dostavi</w:t>
      </w:r>
      <w:r w:rsidRPr="009B6FAB">
        <w:rPr>
          <w:rFonts w:asciiTheme="minorHAnsi" w:eastAsiaTheme="minorHAnsi" w:hAnsiTheme="minorHAnsi"/>
          <w:color w:val="auto"/>
          <w:sz w:val="20"/>
          <w:szCs w:val="20"/>
          <w:lang w:val="sr-Cyrl-BA" w:eastAsia="en-US"/>
        </w:rPr>
        <w:t>la</w:t>
      </w:r>
      <w:r>
        <w:rPr>
          <w:rFonts w:asciiTheme="minorHAnsi" w:eastAsiaTheme="minorHAnsi" w:hAnsiTheme="minorHAnsi"/>
          <w:color w:val="auto"/>
          <w:sz w:val="20"/>
          <w:szCs w:val="20"/>
          <w:lang w:val="sr-Latn-RS" w:eastAsia="en-US"/>
        </w:rPr>
        <w:t xml:space="preserve"> s</w:t>
      </w:r>
      <w:r>
        <w:rPr>
          <w:rFonts w:asciiTheme="minorHAnsi" w:eastAsiaTheme="minorHAnsi" w:hAnsiTheme="minorHAnsi"/>
          <w:color w:val="auto"/>
          <w:sz w:val="20"/>
          <w:szCs w:val="20"/>
          <w:lang w:val="sr-Cyrl-RS" w:eastAsia="en-US"/>
        </w:rPr>
        <w:t>lj</w:t>
      </w:r>
      <w:r w:rsidRPr="009B6FAB">
        <w:rPr>
          <w:rFonts w:asciiTheme="minorHAnsi" w:eastAsiaTheme="minorHAnsi" w:hAnsiTheme="minorHAnsi"/>
          <w:color w:val="auto"/>
          <w:sz w:val="20"/>
          <w:szCs w:val="20"/>
          <w:lang w:val="sr-Latn-RS" w:eastAsia="en-US"/>
        </w:rPr>
        <w:t>edeće mišljenje:</w:t>
      </w:r>
      <w:r w:rsidRPr="009B6FAB">
        <w:rPr>
          <w:rFonts w:asciiTheme="minorHAnsi" w:eastAsia="Calibri" w:hAnsiTheme="minorHAnsi"/>
          <w:color w:val="auto"/>
          <w:sz w:val="20"/>
          <w:szCs w:val="20"/>
          <w:lang w:val="sr-Cyrl-BA" w:eastAsia="en-US"/>
        </w:rPr>
        <w:tab/>
      </w:r>
    </w:p>
    <w:p w:rsidR="005934B2" w:rsidRPr="009B6FAB" w:rsidRDefault="005934B2" w:rsidP="005934B2">
      <w:pPr>
        <w:spacing w:line="276" w:lineRule="auto"/>
        <w:ind w:right="-142"/>
        <w:rPr>
          <w:rFonts w:asciiTheme="minorHAnsi" w:eastAsia="Calibri" w:hAnsiTheme="minorHAnsi"/>
          <w:color w:val="auto"/>
          <w:sz w:val="20"/>
          <w:szCs w:val="20"/>
          <w:lang w:val="sr-Cyrl-BA" w:eastAsia="en-US"/>
        </w:rPr>
      </w:pPr>
    </w:p>
    <w:p w:rsidR="005934B2" w:rsidRPr="00195FB5" w:rsidRDefault="005934B2" w:rsidP="005934B2">
      <w:pPr>
        <w:spacing w:line="276" w:lineRule="auto"/>
        <w:rPr>
          <w:rFonts w:asciiTheme="minorHAnsi" w:hAnsiTheme="minorHAnsi"/>
          <w:i/>
          <w:color w:val="auto"/>
          <w:sz w:val="20"/>
          <w:szCs w:val="20"/>
          <w:lang w:val="sr-Cyrl-BA"/>
        </w:rPr>
      </w:pPr>
      <w:r w:rsidRPr="00195FB5">
        <w:rPr>
          <w:rFonts w:asciiTheme="minorHAnsi" w:hAnsiTheme="minorHAnsi"/>
          <w:i/>
          <w:color w:val="auto"/>
          <w:sz w:val="20"/>
          <w:szCs w:val="20"/>
          <w:lang w:val="sr-Cyrl-BA"/>
        </w:rPr>
        <w:t>„</w:t>
      </w:r>
      <w:r w:rsidRPr="00195FB5">
        <w:rPr>
          <w:rFonts w:asciiTheme="minorHAnsi" w:hAnsiTheme="minorHAnsi"/>
          <w:i/>
          <w:color w:val="auto"/>
          <w:sz w:val="20"/>
          <w:szCs w:val="20"/>
          <w:lang w:val="sr-Latn-CS"/>
        </w:rPr>
        <w:t xml:space="preserve">Po našem mišljenju, priloženi finansijski izvještaji prikazuju </w:t>
      </w:r>
      <w:r w:rsidRPr="00195FB5">
        <w:rPr>
          <w:rFonts w:asciiTheme="minorHAnsi" w:hAnsiTheme="minorHAnsi"/>
          <w:b/>
          <w:i/>
          <w:color w:val="auto"/>
          <w:sz w:val="20"/>
          <w:szCs w:val="20"/>
          <w:lang w:val="sr-Latn-CS"/>
        </w:rPr>
        <w:t>istinito i objektivno</w:t>
      </w:r>
      <w:r w:rsidRPr="00195FB5">
        <w:rPr>
          <w:rFonts w:asciiTheme="minorHAnsi" w:hAnsiTheme="minorHAnsi"/>
          <w:i/>
          <w:color w:val="auto"/>
          <w:sz w:val="20"/>
          <w:szCs w:val="20"/>
          <w:lang w:val="sr-Latn-CS"/>
        </w:rPr>
        <w:t>, po svim materijalno značajnim pitanjima, finansijsko stanje Fonda, na dan 31. decembra 202</w:t>
      </w:r>
      <w:r w:rsidRPr="00195FB5">
        <w:rPr>
          <w:rFonts w:asciiTheme="minorHAnsi" w:hAnsiTheme="minorHAnsi"/>
          <w:i/>
          <w:color w:val="auto"/>
          <w:sz w:val="20"/>
          <w:szCs w:val="20"/>
          <w:lang w:val="sr-Cyrl-RS"/>
        </w:rPr>
        <w:t>4</w:t>
      </w:r>
      <w:r w:rsidRPr="00195FB5">
        <w:rPr>
          <w:rFonts w:asciiTheme="minorHAnsi" w:hAnsiTheme="minorHAnsi"/>
          <w:i/>
          <w:color w:val="auto"/>
          <w:sz w:val="20"/>
          <w:szCs w:val="20"/>
          <w:lang w:val="sr-Latn-CS"/>
        </w:rPr>
        <w:t xml:space="preserve">.  godine, rezultate njegovog poslovanja i novčane tokove za godinu koja se završava na taj dan, </w:t>
      </w:r>
      <w:r w:rsidRPr="00195FB5">
        <w:rPr>
          <w:rFonts w:asciiTheme="minorHAnsi" w:hAnsiTheme="minorHAnsi"/>
          <w:i/>
          <w:color w:val="auto"/>
          <w:sz w:val="20"/>
          <w:szCs w:val="20"/>
          <w:lang w:val="sr-Cyrl-CS"/>
        </w:rPr>
        <w:t>u skl</w:t>
      </w:r>
      <w:r w:rsidRPr="00195FB5">
        <w:rPr>
          <w:rFonts w:asciiTheme="minorHAnsi" w:hAnsiTheme="minorHAnsi"/>
          <w:i/>
          <w:color w:val="auto"/>
          <w:sz w:val="20"/>
          <w:szCs w:val="20"/>
          <w:lang w:val="sr-Latn-CS"/>
        </w:rPr>
        <w:t>a</w:t>
      </w:r>
      <w:r w:rsidRPr="00195FB5">
        <w:rPr>
          <w:rFonts w:asciiTheme="minorHAnsi" w:hAnsiTheme="minorHAnsi"/>
          <w:i/>
          <w:color w:val="auto"/>
          <w:sz w:val="20"/>
          <w:szCs w:val="20"/>
          <w:lang w:val="sr-Cyrl-CS"/>
        </w:rPr>
        <w:t xml:space="preserve">du s </w:t>
      </w:r>
      <w:r w:rsidRPr="00195FB5">
        <w:rPr>
          <w:rFonts w:asciiTheme="minorHAnsi" w:hAnsiTheme="minorHAnsi"/>
          <w:i/>
          <w:color w:val="auto"/>
          <w:sz w:val="20"/>
          <w:szCs w:val="20"/>
          <w:lang w:val="en-GB"/>
        </w:rPr>
        <w:t>računovodstvenim propisima Republike Srpske</w:t>
      </w:r>
      <w:r w:rsidRPr="00195FB5">
        <w:rPr>
          <w:rFonts w:asciiTheme="minorHAnsi" w:hAnsiTheme="minorHAnsi"/>
          <w:i/>
          <w:color w:val="auto"/>
          <w:sz w:val="20"/>
          <w:szCs w:val="20"/>
          <w:lang w:val="sr-Cyrl-BA"/>
        </w:rPr>
        <w:t>“.</w:t>
      </w:r>
    </w:p>
    <w:p w:rsidR="005934B2" w:rsidRPr="00EF4BB3" w:rsidRDefault="005934B2" w:rsidP="005934B2">
      <w:pPr>
        <w:autoSpaceDE w:val="0"/>
        <w:autoSpaceDN w:val="0"/>
        <w:adjustRightInd w:val="0"/>
        <w:spacing w:line="276" w:lineRule="auto"/>
        <w:rPr>
          <w:rFonts w:asciiTheme="minorHAnsi" w:eastAsiaTheme="minorHAnsi" w:hAnsiTheme="minorHAnsi"/>
          <w:color w:val="FF0000"/>
          <w:sz w:val="20"/>
          <w:szCs w:val="20"/>
          <w:lang w:val="sr-Latn-RS" w:eastAsia="en-US"/>
        </w:rPr>
      </w:pPr>
    </w:p>
    <w:p w:rsidR="005934B2" w:rsidRPr="005934B2" w:rsidRDefault="005934B2" w:rsidP="00A401F8">
      <w:pPr>
        <w:autoSpaceDE w:val="0"/>
        <w:autoSpaceDN w:val="0"/>
        <w:adjustRightInd w:val="0"/>
        <w:rPr>
          <w:rFonts w:asciiTheme="minorHAnsi" w:eastAsiaTheme="minorHAnsi" w:hAnsiTheme="minorHAnsi"/>
          <w:color w:val="FF0000"/>
          <w:sz w:val="20"/>
          <w:szCs w:val="20"/>
          <w:lang w:val="sr-Cyrl-RS" w:eastAsia="en-US"/>
        </w:rPr>
      </w:pPr>
    </w:p>
    <w:p w:rsidR="005934B2" w:rsidRPr="005767EF" w:rsidRDefault="005934B2" w:rsidP="00A401F8">
      <w:pPr>
        <w:autoSpaceDE w:val="0"/>
        <w:autoSpaceDN w:val="0"/>
        <w:adjustRightInd w:val="0"/>
        <w:rPr>
          <w:rFonts w:asciiTheme="minorHAnsi" w:eastAsiaTheme="minorHAnsi" w:hAnsiTheme="minorHAnsi"/>
          <w:sz w:val="20"/>
          <w:szCs w:val="20"/>
          <w:lang w:val="sr-Latn-RS" w:eastAsia="en-US"/>
        </w:rPr>
      </w:pPr>
    </w:p>
    <w:p w:rsidR="005934B2" w:rsidRPr="004E2487" w:rsidRDefault="005934B2" w:rsidP="00A401F8">
      <w:pPr>
        <w:autoSpaceDE w:val="0"/>
        <w:autoSpaceDN w:val="0"/>
        <w:adjustRightInd w:val="0"/>
        <w:jc w:val="left"/>
        <w:rPr>
          <w:rFonts w:asciiTheme="minorHAnsi" w:eastAsiaTheme="minorHAnsi" w:hAnsiTheme="minorHAnsi"/>
          <w:sz w:val="20"/>
          <w:szCs w:val="20"/>
          <w:lang w:eastAsia="en-US"/>
        </w:rPr>
      </w:pPr>
      <w:r w:rsidRPr="005767EF">
        <w:rPr>
          <w:rFonts w:asciiTheme="minorHAnsi" w:eastAsiaTheme="minorHAnsi" w:hAnsiTheme="minorHAnsi"/>
          <w:sz w:val="20"/>
          <w:szCs w:val="20"/>
          <w:lang w:val="sr-Latn-RS" w:eastAsia="en-US"/>
        </w:rPr>
        <w:t>Broj: 02-</w:t>
      </w:r>
      <w:r>
        <w:rPr>
          <w:rFonts w:asciiTheme="minorHAnsi" w:eastAsiaTheme="minorHAnsi" w:hAnsiTheme="minorHAnsi"/>
          <w:sz w:val="20"/>
          <w:szCs w:val="20"/>
          <w:lang w:eastAsia="en-US"/>
        </w:rPr>
        <w:t xml:space="preserve"> </w:t>
      </w:r>
      <w:r w:rsidR="00046434">
        <w:rPr>
          <w:rFonts w:asciiTheme="minorHAnsi" w:eastAsiaTheme="minorHAnsi" w:hAnsiTheme="minorHAnsi"/>
          <w:sz w:val="20"/>
          <w:szCs w:val="20"/>
          <w:lang w:eastAsia="en-US"/>
        </w:rPr>
        <w:t>121</w:t>
      </w:r>
      <w:r>
        <w:rPr>
          <w:rFonts w:asciiTheme="minorHAnsi" w:eastAsiaTheme="minorHAnsi" w:hAnsiTheme="minorHAnsi"/>
          <w:sz w:val="20"/>
          <w:szCs w:val="20"/>
          <w:lang w:val="sr-Latn-RS" w:eastAsia="en-US"/>
        </w:rPr>
        <w:t>/2</w:t>
      </w:r>
      <w:r>
        <w:rPr>
          <w:rFonts w:asciiTheme="minorHAnsi" w:eastAsiaTheme="minorHAnsi" w:hAnsiTheme="minorHAnsi"/>
          <w:sz w:val="20"/>
          <w:szCs w:val="20"/>
          <w:lang w:eastAsia="en-US"/>
        </w:rPr>
        <w:t>5</w:t>
      </w:r>
    </w:p>
    <w:p w:rsidR="005934B2" w:rsidRPr="006F5BAE" w:rsidRDefault="005934B2" w:rsidP="00A401F8">
      <w:pPr>
        <w:autoSpaceDE w:val="0"/>
        <w:autoSpaceDN w:val="0"/>
        <w:adjustRightInd w:val="0"/>
        <w:jc w:val="left"/>
        <w:rPr>
          <w:rFonts w:asciiTheme="minorHAnsi" w:eastAsiaTheme="minorHAnsi" w:hAnsiTheme="minorHAnsi"/>
          <w:color w:val="auto"/>
          <w:sz w:val="20"/>
          <w:szCs w:val="20"/>
          <w:lang w:val="sr-Latn-RS" w:eastAsia="en-US"/>
        </w:rPr>
      </w:pPr>
      <w:r w:rsidRPr="006F5BAE">
        <w:rPr>
          <w:rFonts w:asciiTheme="minorHAnsi" w:eastAsiaTheme="minorHAnsi" w:hAnsiTheme="minorHAnsi"/>
          <w:color w:val="auto"/>
          <w:sz w:val="20"/>
          <w:szCs w:val="20"/>
          <w:lang w:val="sr-Latn-RS" w:eastAsia="en-US"/>
        </w:rPr>
        <w:t>Dana:</w:t>
      </w:r>
      <w:r>
        <w:rPr>
          <w:rFonts w:asciiTheme="minorHAnsi" w:eastAsiaTheme="minorHAnsi" w:hAnsiTheme="minorHAnsi"/>
          <w:color w:val="auto"/>
          <w:sz w:val="20"/>
          <w:szCs w:val="20"/>
          <w:lang w:val="sr-Cyrl-RS" w:eastAsia="en-US"/>
        </w:rPr>
        <w:t xml:space="preserve"> 10</w:t>
      </w:r>
      <w:r w:rsidRPr="006F5BAE">
        <w:rPr>
          <w:rFonts w:asciiTheme="minorHAnsi" w:eastAsiaTheme="minorHAnsi" w:hAnsiTheme="minorHAnsi"/>
          <w:color w:val="auto"/>
          <w:sz w:val="20"/>
          <w:szCs w:val="20"/>
          <w:lang w:val="sr-Latn-RS" w:eastAsia="en-US"/>
        </w:rPr>
        <w:t>.0</w:t>
      </w:r>
      <w:r w:rsidRPr="006F5BAE">
        <w:rPr>
          <w:rFonts w:asciiTheme="minorHAnsi" w:eastAsiaTheme="minorHAnsi" w:hAnsiTheme="minorHAnsi"/>
          <w:color w:val="auto"/>
          <w:sz w:val="20"/>
          <w:szCs w:val="20"/>
          <w:lang w:val="sr-Cyrl-RS" w:eastAsia="en-US"/>
        </w:rPr>
        <w:t>6</w:t>
      </w:r>
      <w:r w:rsidRPr="006F5BAE">
        <w:rPr>
          <w:rFonts w:asciiTheme="minorHAnsi" w:eastAsiaTheme="minorHAnsi" w:hAnsiTheme="minorHAnsi"/>
          <w:color w:val="auto"/>
          <w:sz w:val="20"/>
          <w:szCs w:val="20"/>
          <w:lang w:val="sr-Latn-RS" w:eastAsia="en-US"/>
        </w:rPr>
        <w:t>.202</w:t>
      </w:r>
      <w:r>
        <w:rPr>
          <w:rFonts w:asciiTheme="minorHAnsi" w:eastAsiaTheme="minorHAnsi" w:hAnsiTheme="minorHAnsi"/>
          <w:color w:val="auto"/>
          <w:sz w:val="20"/>
          <w:szCs w:val="20"/>
          <w:lang w:eastAsia="en-US"/>
        </w:rPr>
        <w:t>5</w:t>
      </w:r>
      <w:r w:rsidRPr="006F5BAE">
        <w:rPr>
          <w:rFonts w:asciiTheme="minorHAnsi" w:eastAsiaTheme="minorHAnsi" w:hAnsiTheme="minorHAnsi"/>
          <w:color w:val="auto"/>
          <w:sz w:val="20"/>
          <w:szCs w:val="20"/>
          <w:lang w:val="sr-Latn-RS" w:eastAsia="en-US"/>
        </w:rPr>
        <w:t xml:space="preserve">. </w:t>
      </w:r>
      <w:r w:rsidRPr="006F5BAE">
        <w:rPr>
          <w:rFonts w:asciiTheme="minorHAnsi" w:eastAsiaTheme="minorHAnsi" w:hAnsiTheme="minorHAnsi"/>
          <w:color w:val="auto"/>
          <w:sz w:val="20"/>
          <w:szCs w:val="20"/>
          <w:lang w:val="sr-Cyrl-BA" w:eastAsia="en-US"/>
        </w:rPr>
        <w:t>godine</w:t>
      </w:r>
      <w:r w:rsidRPr="006F5BAE">
        <w:rPr>
          <w:rFonts w:asciiTheme="minorHAnsi" w:eastAsiaTheme="minorHAnsi" w:hAnsiTheme="minorHAnsi"/>
          <w:color w:val="auto"/>
          <w:sz w:val="20"/>
          <w:szCs w:val="20"/>
          <w:lang w:val="sr-Latn-RS" w:eastAsia="en-US"/>
        </w:rPr>
        <w:t xml:space="preserve"> </w:t>
      </w:r>
    </w:p>
    <w:p w:rsidR="005934B2" w:rsidRPr="005767EF" w:rsidRDefault="005934B2" w:rsidP="00A401F8">
      <w:pPr>
        <w:rPr>
          <w:rFonts w:asciiTheme="minorHAnsi" w:hAnsiTheme="minorHAnsi"/>
          <w:b/>
          <w:caps/>
          <w:sz w:val="20"/>
          <w:szCs w:val="20"/>
          <w:lang w:val="sr-Cyrl-BA"/>
        </w:rPr>
      </w:pP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sidRPr="005767EF">
        <w:rPr>
          <w:rFonts w:asciiTheme="minorHAnsi" w:hAnsiTheme="minorHAnsi"/>
          <w:sz w:val="20"/>
          <w:szCs w:val="20"/>
        </w:rPr>
        <w:tab/>
      </w:r>
      <w:r>
        <w:rPr>
          <w:rFonts w:asciiTheme="minorHAnsi" w:hAnsiTheme="minorHAnsi"/>
          <w:sz w:val="20"/>
          <w:szCs w:val="20"/>
          <w:lang w:val="sr-Cyrl-RS"/>
        </w:rPr>
        <w:t xml:space="preserve">                         </w:t>
      </w:r>
      <w:r w:rsidRPr="005767EF">
        <w:rPr>
          <w:rFonts w:asciiTheme="minorHAnsi" w:hAnsiTheme="minorHAnsi"/>
          <w:b/>
          <w:caps/>
          <w:sz w:val="20"/>
          <w:szCs w:val="20"/>
          <w:lang w:val="sr-Cyrl-BA"/>
        </w:rPr>
        <w:t>Garantni fond Republike Srpske</w:t>
      </w:r>
    </w:p>
    <w:p w:rsidR="005934B2" w:rsidRPr="005767EF" w:rsidRDefault="005934B2" w:rsidP="00A401F8">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p>
    <w:p w:rsidR="005934B2" w:rsidRPr="005767EF" w:rsidRDefault="005934B2" w:rsidP="00A401F8">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t xml:space="preserve">        </w:t>
      </w:r>
      <w:r>
        <w:rPr>
          <w:rFonts w:asciiTheme="minorHAnsi" w:hAnsiTheme="minorHAnsi"/>
          <w:sz w:val="20"/>
          <w:szCs w:val="20"/>
          <w:lang w:val="sr-Cyrl-BA"/>
        </w:rPr>
        <w:t xml:space="preserve">                                </w:t>
      </w:r>
      <w:r w:rsidRPr="005767EF">
        <w:rPr>
          <w:rFonts w:asciiTheme="minorHAnsi" w:hAnsiTheme="minorHAnsi"/>
          <w:sz w:val="20"/>
          <w:szCs w:val="20"/>
          <w:lang w:val="sr-Cyrl-BA"/>
        </w:rPr>
        <w:t>_________________________________</w:t>
      </w:r>
    </w:p>
    <w:p w:rsidR="005934B2" w:rsidRPr="005767EF" w:rsidRDefault="005934B2" w:rsidP="00A401F8">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Pr>
          <w:rFonts w:asciiTheme="minorHAnsi" w:hAnsiTheme="minorHAnsi"/>
          <w:sz w:val="20"/>
          <w:szCs w:val="20"/>
          <w:lang w:val="sr-Cyrl-BA"/>
        </w:rPr>
        <w:t xml:space="preserve"> </w:t>
      </w:r>
      <w:r w:rsidRPr="005767EF">
        <w:rPr>
          <w:rFonts w:asciiTheme="minorHAnsi" w:hAnsiTheme="minorHAnsi"/>
          <w:sz w:val="20"/>
          <w:szCs w:val="20"/>
          <w:lang w:val="sr-Cyrl-BA"/>
        </w:rPr>
        <w:tab/>
      </w:r>
      <w:r w:rsidRPr="005767EF">
        <w:rPr>
          <w:rFonts w:asciiTheme="minorHAnsi" w:hAnsiTheme="minorHAnsi"/>
          <w:sz w:val="20"/>
          <w:szCs w:val="20"/>
          <w:lang w:val="sr-Cyrl-BA"/>
        </w:rPr>
        <w:tab/>
        <w:t xml:space="preserve">   </w:t>
      </w:r>
      <w:r w:rsidRPr="005767EF">
        <w:rPr>
          <w:rFonts w:asciiTheme="minorHAnsi" w:hAnsiTheme="minorHAnsi"/>
          <w:sz w:val="20"/>
          <w:szCs w:val="20"/>
          <w:lang w:val="sr-Cyrl-BA"/>
        </w:rPr>
        <w:tab/>
      </w:r>
    </w:p>
    <w:p w:rsidR="005934B2" w:rsidRPr="005767EF" w:rsidRDefault="005934B2" w:rsidP="00A401F8">
      <w:pPr>
        <w:rPr>
          <w:rFonts w:asciiTheme="minorHAnsi" w:hAnsiTheme="minorHAnsi"/>
          <w:sz w:val="20"/>
          <w:szCs w:val="20"/>
          <w:lang w:val="sr-Cyrl-BA"/>
        </w:rPr>
      </w:pPr>
      <w:r w:rsidRPr="005767EF">
        <w:rPr>
          <w:rFonts w:asciiTheme="minorHAnsi" w:hAnsiTheme="minorHAnsi"/>
          <w:sz w:val="20"/>
          <w:szCs w:val="20"/>
          <w:lang w:val="sr-Cyrl-BA"/>
        </w:rPr>
        <w:t xml:space="preserve">                                                                                                                   </w:t>
      </w:r>
      <w:r>
        <w:rPr>
          <w:rFonts w:asciiTheme="minorHAnsi" w:hAnsiTheme="minorHAnsi"/>
          <w:sz w:val="20"/>
          <w:szCs w:val="20"/>
          <w:lang w:val="sr-Cyrl-BA"/>
        </w:rPr>
        <w:t xml:space="preserve">                          </w:t>
      </w:r>
      <w:r>
        <w:rPr>
          <w:rFonts w:asciiTheme="minorHAnsi" w:hAnsiTheme="minorHAnsi"/>
          <w:sz w:val="20"/>
          <w:szCs w:val="20"/>
        </w:rPr>
        <w:t xml:space="preserve">    </w:t>
      </w:r>
      <w:r>
        <w:rPr>
          <w:rFonts w:asciiTheme="minorHAnsi" w:hAnsiTheme="minorHAnsi"/>
          <w:sz w:val="20"/>
          <w:szCs w:val="20"/>
          <w:lang w:val="sr-Cyrl-BA"/>
        </w:rPr>
        <w:t>Direkto</w:t>
      </w:r>
      <w:r w:rsidRPr="005767EF">
        <w:rPr>
          <w:rFonts w:asciiTheme="minorHAnsi" w:hAnsiTheme="minorHAnsi"/>
          <w:sz w:val="20"/>
          <w:szCs w:val="20"/>
          <w:lang w:val="sr-Cyrl-BA"/>
        </w:rPr>
        <w:t>r</w:t>
      </w:r>
    </w:p>
    <w:p w:rsidR="005934B2" w:rsidRPr="005767EF" w:rsidRDefault="005934B2" w:rsidP="00A401F8">
      <w:pPr>
        <w:rPr>
          <w:rFonts w:asciiTheme="minorHAnsi" w:hAnsiTheme="minorHAnsi"/>
          <w:sz w:val="20"/>
          <w:szCs w:val="20"/>
          <w:lang w:val="sr-Cyrl-BA"/>
        </w:rPr>
      </w:pP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sidRPr="005767EF">
        <w:rPr>
          <w:rFonts w:asciiTheme="minorHAnsi" w:hAnsiTheme="minorHAnsi"/>
          <w:sz w:val="20"/>
          <w:szCs w:val="20"/>
          <w:lang w:val="sr-Cyrl-BA"/>
        </w:rPr>
        <w:tab/>
      </w:r>
      <w:r>
        <w:rPr>
          <w:rFonts w:asciiTheme="minorHAnsi" w:hAnsiTheme="minorHAnsi"/>
          <w:sz w:val="20"/>
          <w:szCs w:val="20"/>
          <w:lang w:val="sr-Cyrl-BA"/>
        </w:rPr>
        <w:t xml:space="preserve">                                 Neven Bućan</w:t>
      </w:r>
    </w:p>
    <w:p w:rsidR="005934B2" w:rsidRPr="001538EF" w:rsidRDefault="005934B2" w:rsidP="00A401F8">
      <w:pPr>
        <w:rPr>
          <w:sz w:val="22"/>
          <w:szCs w:val="22"/>
          <w:lang w:val="sr-Cyrl-CS" w:eastAsia="sr-Cyrl-CS"/>
        </w:rPr>
      </w:pPr>
    </w:p>
    <w:p w:rsidR="005934B2" w:rsidRDefault="005934B2"/>
    <w:sectPr w:rsidR="005934B2" w:rsidSect="00C12ECB">
      <w:headerReference w:type="default" r:id="rId9"/>
      <w:footerReference w:type="default" r:id="rId10"/>
      <w:pgSz w:w="11906" w:h="16838" w:code="9"/>
      <w:pgMar w:top="1418" w:right="1418"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87D" w:rsidRDefault="0092287D" w:rsidP="001538EF">
      <w:r>
        <w:separator/>
      </w:r>
    </w:p>
  </w:endnote>
  <w:endnote w:type="continuationSeparator" w:id="0">
    <w:p w:rsidR="0092287D" w:rsidRDefault="0092287D" w:rsidP="0015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MPEGO+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66804"/>
      <w:docPartObj>
        <w:docPartGallery w:val="Page Numbers (Bottom of Page)"/>
        <w:docPartUnique/>
      </w:docPartObj>
    </w:sdtPr>
    <w:sdtEndPr>
      <w:rPr>
        <w:noProof/>
      </w:rPr>
    </w:sdtEndPr>
    <w:sdtContent>
      <w:p w:rsidR="00714BA7" w:rsidRDefault="00714BA7" w:rsidP="001538EF">
        <w:pPr>
          <w:pStyle w:val="Footer"/>
          <w:pBdr>
            <w:top w:val="single" w:sz="4" w:space="1" w:color="auto"/>
          </w:pBdr>
          <w:jc w:val="right"/>
        </w:pPr>
        <w:r>
          <w:fldChar w:fldCharType="begin"/>
        </w:r>
        <w:r>
          <w:instrText xml:space="preserve"> PAGE   \* MERGEFORMAT </w:instrText>
        </w:r>
        <w:r>
          <w:fldChar w:fldCharType="separate"/>
        </w:r>
        <w:r w:rsidR="000472AB">
          <w:rPr>
            <w:noProof/>
          </w:rPr>
          <w:t>2</w:t>
        </w:r>
        <w:r>
          <w:rPr>
            <w:noProof/>
          </w:rPr>
          <w:fldChar w:fldCharType="end"/>
        </w:r>
      </w:p>
    </w:sdtContent>
  </w:sdt>
  <w:p w:rsidR="00714BA7" w:rsidRDefault="00714B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87D" w:rsidRDefault="0092287D" w:rsidP="001538EF">
      <w:r>
        <w:separator/>
      </w:r>
    </w:p>
  </w:footnote>
  <w:footnote w:type="continuationSeparator" w:id="0">
    <w:p w:rsidR="0092287D" w:rsidRDefault="0092287D" w:rsidP="00153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A7" w:rsidRPr="00EC5CB8" w:rsidRDefault="00714BA7" w:rsidP="001538EF">
    <w:pPr>
      <w:pStyle w:val="Header"/>
      <w:pBdr>
        <w:bottom w:val="single" w:sz="4" w:space="1" w:color="auto"/>
      </w:pBdr>
      <w:tabs>
        <w:tab w:val="clear" w:pos="4320"/>
        <w:tab w:val="clear" w:pos="8640"/>
        <w:tab w:val="right" w:pos="9356"/>
      </w:tabs>
      <w:jc w:val="left"/>
      <w:rPr>
        <w:i/>
        <w:color w:val="000000" w:themeColor="text1"/>
        <w:sz w:val="20"/>
        <w:szCs w:val="20"/>
      </w:rPr>
    </w:pPr>
    <w:r>
      <w:rPr>
        <w:noProof/>
        <w:lang w:val="en-US" w:eastAsia="en-US"/>
      </w:rPr>
      <w:drawing>
        <wp:inline distT="0" distB="0" distL="0" distR="0" wp14:anchorId="1A22857E" wp14:editId="3967F3BD">
          <wp:extent cx="907655" cy="320331"/>
          <wp:effectExtent l="0" t="0" r="698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 dopunske varijante.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7650" cy="320329"/>
                  </a:xfrm>
                  <a:prstGeom prst="rect">
                    <a:avLst/>
                  </a:prstGeom>
                </pic:spPr>
              </pic:pic>
            </a:graphicData>
          </a:graphic>
        </wp:inline>
      </w:drawing>
    </w:r>
    <w:r>
      <w:rPr>
        <w:i/>
        <w:color w:val="000000" w:themeColor="text1"/>
        <w:sz w:val="20"/>
        <w:szCs w:val="20"/>
        <w:lang w:val="sr-Cyrl-BA"/>
      </w:rPr>
      <w:t xml:space="preserve">                        </w:t>
    </w:r>
    <w:r w:rsidR="00EC5CB8">
      <w:rPr>
        <w:i/>
        <w:color w:val="000000" w:themeColor="text1"/>
        <w:sz w:val="20"/>
        <w:szCs w:val="20"/>
      </w:rPr>
      <w:t xml:space="preserve">          </w:t>
    </w:r>
    <w:r>
      <w:rPr>
        <w:i/>
        <w:color w:val="000000" w:themeColor="text1"/>
        <w:sz w:val="20"/>
        <w:szCs w:val="20"/>
        <w:lang w:val="sr-Cyrl-BA"/>
      </w:rPr>
      <w:t xml:space="preserve">      </w:t>
    </w:r>
    <w:r w:rsidR="00EC5CB8">
      <w:rPr>
        <w:i/>
        <w:color w:val="000000" w:themeColor="text1"/>
        <w:sz w:val="20"/>
        <w:szCs w:val="20"/>
      </w:rPr>
      <w:t>Izvještaj o radu i poslovanju Garantnog fonda RS za 2024. godinu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92F"/>
    <w:multiLevelType w:val="hybridMultilevel"/>
    <w:tmpl w:val="40F6671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7656FF1"/>
    <w:multiLevelType w:val="multilevel"/>
    <w:tmpl w:val="84D2EA00"/>
    <w:styleLink w:val="Stil2"/>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2" w15:restartNumberingAfterBreak="0">
    <w:nsid w:val="08350EA9"/>
    <w:multiLevelType w:val="hybridMultilevel"/>
    <w:tmpl w:val="5D841CB0"/>
    <w:lvl w:ilvl="0" w:tplc="241A0001">
      <w:start w:val="1"/>
      <w:numFmt w:val="bullet"/>
      <w:lvlText w:val=""/>
      <w:lvlJc w:val="left"/>
      <w:pPr>
        <w:ind w:left="1068" w:hanging="360"/>
      </w:pPr>
      <w:rPr>
        <w:rFonts w:ascii="Symbol" w:hAnsi="Symbol" w:hint="default"/>
      </w:rPr>
    </w:lvl>
    <w:lvl w:ilvl="1" w:tplc="241A0003">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3" w15:restartNumberingAfterBreak="0">
    <w:nsid w:val="0C2636D8"/>
    <w:multiLevelType w:val="multilevel"/>
    <w:tmpl w:val="B9466AC8"/>
    <w:styleLink w:val="Stil1"/>
    <w:lvl w:ilvl="0">
      <w:start w:val="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EA5509"/>
    <w:multiLevelType w:val="hybridMultilevel"/>
    <w:tmpl w:val="12CA3598"/>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5" w15:restartNumberingAfterBreak="0">
    <w:nsid w:val="29376F85"/>
    <w:multiLevelType w:val="hybridMultilevel"/>
    <w:tmpl w:val="26AC2148"/>
    <w:lvl w:ilvl="0" w:tplc="C17676FC">
      <w:numFmt w:val="bullet"/>
      <w:lvlText w:val="-"/>
      <w:lvlJc w:val="left"/>
      <w:pPr>
        <w:ind w:left="1428"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6" w15:restartNumberingAfterBreak="0">
    <w:nsid w:val="2C67189E"/>
    <w:multiLevelType w:val="hybridMultilevel"/>
    <w:tmpl w:val="4BD6B5F6"/>
    <w:lvl w:ilvl="0" w:tplc="239452E8">
      <w:start w:val="1"/>
      <w:numFmt w:val="upperRoman"/>
      <w:pStyle w:val="Glava"/>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7" w15:restartNumberingAfterBreak="0">
    <w:nsid w:val="2CCD5E83"/>
    <w:multiLevelType w:val="hybridMultilevel"/>
    <w:tmpl w:val="2DC65746"/>
    <w:lvl w:ilvl="0" w:tplc="C17676FC">
      <w:numFmt w:val="bullet"/>
      <w:lvlText w:val="-"/>
      <w:lvlJc w:val="left"/>
      <w:pPr>
        <w:ind w:left="2892"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612" w:hanging="360"/>
      </w:pPr>
      <w:rPr>
        <w:rFonts w:ascii="Courier New" w:hAnsi="Courier New" w:cs="Courier New" w:hint="default"/>
      </w:rPr>
    </w:lvl>
    <w:lvl w:ilvl="2" w:tplc="241A0005" w:tentative="1">
      <w:start w:val="1"/>
      <w:numFmt w:val="bullet"/>
      <w:lvlText w:val=""/>
      <w:lvlJc w:val="left"/>
      <w:pPr>
        <w:ind w:left="4332" w:hanging="360"/>
      </w:pPr>
      <w:rPr>
        <w:rFonts w:ascii="Wingdings" w:hAnsi="Wingdings" w:hint="default"/>
      </w:rPr>
    </w:lvl>
    <w:lvl w:ilvl="3" w:tplc="241A0001" w:tentative="1">
      <w:start w:val="1"/>
      <w:numFmt w:val="bullet"/>
      <w:lvlText w:val=""/>
      <w:lvlJc w:val="left"/>
      <w:pPr>
        <w:ind w:left="5052" w:hanging="360"/>
      </w:pPr>
      <w:rPr>
        <w:rFonts w:ascii="Symbol" w:hAnsi="Symbol" w:hint="default"/>
      </w:rPr>
    </w:lvl>
    <w:lvl w:ilvl="4" w:tplc="241A0003" w:tentative="1">
      <w:start w:val="1"/>
      <w:numFmt w:val="bullet"/>
      <w:lvlText w:val="o"/>
      <w:lvlJc w:val="left"/>
      <w:pPr>
        <w:ind w:left="5772" w:hanging="360"/>
      </w:pPr>
      <w:rPr>
        <w:rFonts w:ascii="Courier New" w:hAnsi="Courier New" w:cs="Courier New" w:hint="default"/>
      </w:rPr>
    </w:lvl>
    <w:lvl w:ilvl="5" w:tplc="241A0005" w:tentative="1">
      <w:start w:val="1"/>
      <w:numFmt w:val="bullet"/>
      <w:lvlText w:val=""/>
      <w:lvlJc w:val="left"/>
      <w:pPr>
        <w:ind w:left="6492" w:hanging="360"/>
      </w:pPr>
      <w:rPr>
        <w:rFonts w:ascii="Wingdings" w:hAnsi="Wingdings" w:hint="default"/>
      </w:rPr>
    </w:lvl>
    <w:lvl w:ilvl="6" w:tplc="241A0001" w:tentative="1">
      <w:start w:val="1"/>
      <w:numFmt w:val="bullet"/>
      <w:lvlText w:val=""/>
      <w:lvlJc w:val="left"/>
      <w:pPr>
        <w:ind w:left="7212" w:hanging="360"/>
      </w:pPr>
      <w:rPr>
        <w:rFonts w:ascii="Symbol" w:hAnsi="Symbol" w:hint="default"/>
      </w:rPr>
    </w:lvl>
    <w:lvl w:ilvl="7" w:tplc="241A0003" w:tentative="1">
      <w:start w:val="1"/>
      <w:numFmt w:val="bullet"/>
      <w:lvlText w:val="o"/>
      <w:lvlJc w:val="left"/>
      <w:pPr>
        <w:ind w:left="7932" w:hanging="360"/>
      </w:pPr>
      <w:rPr>
        <w:rFonts w:ascii="Courier New" w:hAnsi="Courier New" w:cs="Courier New" w:hint="default"/>
      </w:rPr>
    </w:lvl>
    <w:lvl w:ilvl="8" w:tplc="241A0005" w:tentative="1">
      <w:start w:val="1"/>
      <w:numFmt w:val="bullet"/>
      <w:lvlText w:val=""/>
      <w:lvlJc w:val="left"/>
      <w:pPr>
        <w:ind w:left="8652" w:hanging="360"/>
      </w:pPr>
      <w:rPr>
        <w:rFonts w:ascii="Wingdings" w:hAnsi="Wingdings" w:hint="default"/>
      </w:rPr>
    </w:lvl>
  </w:abstractNum>
  <w:abstractNum w:abstractNumId="8" w15:restartNumberingAfterBreak="0">
    <w:nsid w:val="322E4E1E"/>
    <w:multiLevelType w:val="hybridMultilevel"/>
    <w:tmpl w:val="9E56F0B2"/>
    <w:lvl w:ilvl="0" w:tplc="78724BCE">
      <w:start w:val="1"/>
      <w:numFmt w:val="bullet"/>
      <w:lvlText w:val=""/>
      <w:lvlJc w:val="left"/>
      <w:pPr>
        <w:ind w:left="720" w:hanging="360"/>
      </w:pPr>
      <w:rPr>
        <w:rFonts w:ascii="Symbol" w:hAnsi="Symbol" w:hint="default"/>
        <w:color w:val="000000" w:themeColor="text1"/>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3E6322C7"/>
    <w:multiLevelType w:val="multilevel"/>
    <w:tmpl w:val="6902FC4C"/>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576" w:hanging="576"/>
      </w:pPr>
    </w:lvl>
    <w:lvl w:ilvl="2">
      <w:start w:val="1"/>
      <w:numFmt w:val="decimal"/>
      <w:pStyle w:val="Heading31"/>
      <w:lvlText w:val="%1.%2.%3"/>
      <w:lvlJc w:val="left"/>
      <w:pPr>
        <w:ind w:left="720" w:hanging="720"/>
      </w:pPr>
    </w:lvl>
    <w:lvl w:ilvl="3">
      <w:start w:val="1"/>
      <w:numFmt w:val="decimal"/>
      <w:pStyle w:val="Heading41"/>
      <w:lvlText w:val="%1.%2.%3.%4"/>
      <w:lvlJc w:val="left"/>
      <w:pPr>
        <w:ind w:left="864" w:hanging="864"/>
      </w:pPr>
    </w:lvl>
    <w:lvl w:ilvl="4">
      <w:start w:val="1"/>
      <w:numFmt w:val="decimal"/>
      <w:pStyle w:val="Heading51"/>
      <w:lvlText w:val="%1.%2.%3.%4.%5"/>
      <w:lvlJc w:val="left"/>
      <w:pPr>
        <w:ind w:left="1008" w:hanging="1008"/>
      </w:pPr>
    </w:lvl>
    <w:lvl w:ilvl="5">
      <w:start w:val="1"/>
      <w:numFmt w:val="decimal"/>
      <w:pStyle w:val="Heading61"/>
      <w:lvlText w:val="%1.%2.%3.%4.%5.%6"/>
      <w:lvlJc w:val="left"/>
      <w:pPr>
        <w:ind w:left="1152" w:hanging="1152"/>
      </w:pPr>
    </w:lvl>
    <w:lvl w:ilvl="6">
      <w:start w:val="1"/>
      <w:numFmt w:val="decimal"/>
      <w:pStyle w:val="Heading71"/>
      <w:lvlText w:val="%1.%2.%3.%4.%5.%6.%7"/>
      <w:lvlJc w:val="left"/>
      <w:pPr>
        <w:ind w:left="1296" w:hanging="1296"/>
      </w:pPr>
    </w:lvl>
    <w:lvl w:ilvl="7">
      <w:start w:val="1"/>
      <w:numFmt w:val="decimal"/>
      <w:pStyle w:val="Heading81"/>
      <w:lvlText w:val="%1.%2.%3.%4.%5.%6.%7.%8"/>
      <w:lvlJc w:val="left"/>
      <w:pPr>
        <w:ind w:left="1440" w:hanging="1440"/>
      </w:pPr>
    </w:lvl>
    <w:lvl w:ilvl="8">
      <w:start w:val="1"/>
      <w:numFmt w:val="decimal"/>
      <w:pStyle w:val="Heading91"/>
      <w:lvlText w:val="%1.%2.%3.%4.%5.%6.%7.%8.%9"/>
      <w:lvlJc w:val="left"/>
      <w:pPr>
        <w:ind w:left="1584" w:hanging="1584"/>
      </w:pPr>
    </w:lvl>
  </w:abstractNum>
  <w:abstractNum w:abstractNumId="10" w15:restartNumberingAfterBreak="0">
    <w:nsid w:val="461E3AD3"/>
    <w:multiLevelType w:val="hybridMultilevel"/>
    <w:tmpl w:val="709ECA5C"/>
    <w:lvl w:ilvl="0" w:tplc="AE06C1BA">
      <w:start w:val="1"/>
      <w:numFmt w:val="decimal"/>
      <w:pStyle w:val="lan"/>
      <w:lvlText w:val="Члан %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15:restartNumberingAfterBreak="0">
    <w:nsid w:val="4A8505C1"/>
    <w:multiLevelType w:val="multilevel"/>
    <w:tmpl w:val="AEBC09C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b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4C6D3AAE"/>
    <w:multiLevelType w:val="hybridMultilevel"/>
    <w:tmpl w:val="F17A8E2A"/>
    <w:lvl w:ilvl="0" w:tplc="1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500219D3"/>
    <w:multiLevelType w:val="hybridMultilevel"/>
    <w:tmpl w:val="F9305886"/>
    <w:lvl w:ilvl="0" w:tplc="9DA40474">
      <w:start w:val="1"/>
      <w:numFmt w:val="decimal"/>
      <w:pStyle w:val="Num-Stav"/>
      <w:lvlText w:val="(%1)"/>
      <w:lvlJc w:val="left"/>
      <w:pPr>
        <w:ind w:left="360" w:hanging="360"/>
      </w:pPr>
      <w:rPr>
        <w:rFonts w:hint="default"/>
        <w:b w:val="0"/>
      </w:rPr>
    </w:lvl>
    <w:lvl w:ilvl="1" w:tplc="141A0019" w:tentative="1">
      <w:start w:val="1"/>
      <w:numFmt w:val="lowerLetter"/>
      <w:lvlText w:val="%2."/>
      <w:lvlJc w:val="left"/>
      <w:pPr>
        <w:ind w:left="1080" w:hanging="360"/>
      </w:pPr>
    </w:lvl>
    <w:lvl w:ilvl="2" w:tplc="141A001B" w:tentative="1">
      <w:start w:val="1"/>
      <w:numFmt w:val="lowerRoman"/>
      <w:lvlText w:val="%3."/>
      <w:lvlJc w:val="right"/>
      <w:pPr>
        <w:ind w:left="1800" w:hanging="180"/>
      </w:pPr>
    </w:lvl>
    <w:lvl w:ilvl="3" w:tplc="141A000F" w:tentative="1">
      <w:start w:val="1"/>
      <w:numFmt w:val="decimal"/>
      <w:lvlText w:val="%4."/>
      <w:lvlJc w:val="left"/>
      <w:pPr>
        <w:ind w:left="2520" w:hanging="360"/>
      </w:pPr>
    </w:lvl>
    <w:lvl w:ilvl="4" w:tplc="141A0019" w:tentative="1">
      <w:start w:val="1"/>
      <w:numFmt w:val="lowerLetter"/>
      <w:lvlText w:val="%5."/>
      <w:lvlJc w:val="left"/>
      <w:pPr>
        <w:ind w:left="3240" w:hanging="360"/>
      </w:pPr>
    </w:lvl>
    <w:lvl w:ilvl="5" w:tplc="141A001B" w:tentative="1">
      <w:start w:val="1"/>
      <w:numFmt w:val="lowerRoman"/>
      <w:lvlText w:val="%6."/>
      <w:lvlJc w:val="right"/>
      <w:pPr>
        <w:ind w:left="3960" w:hanging="180"/>
      </w:pPr>
    </w:lvl>
    <w:lvl w:ilvl="6" w:tplc="141A000F" w:tentative="1">
      <w:start w:val="1"/>
      <w:numFmt w:val="decimal"/>
      <w:lvlText w:val="%7."/>
      <w:lvlJc w:val="left"/>
      <w:pPr>
        <w:ind w:left="4680" w:hanging="360"/>
      </w:pPr>
    </w:lvl>
    <w:lvl w:ilvl="7" w:tplc="141A0019" w:tentative="1">
      <w:start w:val="1"/>
      <w:numFmt w:val="lowerLetter"/>
      <w:lvlText w:val="%8."/>
      <w:lvlJc w:val="left"/>
      <w:pPr>
        <w:ind w:left="5400" w:hanging="360"/>
      </w:pPr>
    </w:lvl>
    <w:lvl w:ilvl="8" w:tplc="141A001B" w:tentative="1">
      <w:start w:val="1"/>
      <w:numFmt w:val="lowerRoman"/>
      <w:lvlText w:val="%9."/>
      <w:lvlJc w:val="right"/>
      <w:pPr>
        <w:ind w:left="6120" w:hanging="180"/>
      </w:pPr>
    </w:lvl>
  </w:abstractNum>
  <w:abstractNum w:abstractNumId="14" w15:restartNumberingAfterBreak="0">
    <w:nsid w:val="55BD7D54"/>
    <w:multiLevelType w:val="hybridMultilevel"/>
    <w:tmpl w:val="8102BFF0"/>
    <w:lvl w:ilvl="0" w:tplc="241A0001">
      <w:start w:val="1"/>
      <w:numFmt w:val="bullet"/>
      <w:lvlText w:val=""/>
      <w:lvlJc w:val="left"/>
      <w:pPr>
        <w:ind w:left="720" w:hanging="360"/>
      </w:pPr>
      <w:rPr>
        <w:rFonts w:ascii="Symbol" w:hAnsi="Symbol"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5" w15:restartNumberingAfterBreak="0">
    <w:nsid w:val="564C6828"/>
    <w:multiLevelType w:val="hybridMultilevel"/>
    <w:tmpl w:val="436C17F6"/>
    <w:lvl w:ilvl="0" w:tplc="9F96AC44">
      <w:start w:val="1"/>
      <w:numFmt w:val="bullet"/>
      <w:pStyle w:val="Oznacavanje"/>
      <w:lvlText w:val=""/>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8087FD2"/>
    <w:multiLevelType w:val="multilevel"/>
    <w:tmpl w:val="4EAEDADC"/>
    <w:styleLink w:val="Stil5"/>
    <w:lvl w:ilvl="0">
      <w:start w:val="5"/>
      <w:numFmt w:val="decimal"/>
      <w:lvlText w:val="%1."/>
      <w:lvlJc w:val="left"/>
      <w:pPr>
        <w:ind w:left="1776" w:hanging="360"/>
      </w:pPr>
      <w:rPr>
        <w:rFonts w:hint="default"/>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1"/>
      <w:numFmt w:val="decimal"/>
      <w:lvlText w:val="%4."/>
      <w:lvlJc w:val="left"/>
      <w:pPr>
        <w:ind w:left="3936" w:hanging="360"/>
      </w:pPr>
      <w:rPr>
        <w:rFonts w:hint="default"/>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609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7" w15:restartNumberingAfterBreak="0">
    <w:nsid w:val="65814A95"/>
    <w:multiLevelType w:val="hybridMultilevel"/>
    <w:tmpl w:val="FBF21E6E"/>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abstractNum w:abstractNumId="18" w15:restartNumberingAfterBreak="0">
    <w:nsid w:val="65A114D6"/>
    <w:multiLevelType w:val="hybridMultilevel"/>
    <w:tmpl w:val="0E32D336"/>
    <w:lvl w:ilvl="0" w:tplc="C17676FC">
      <w:numFmt w:val="bullet"/>
      <w:lvlText w:val="-"/>
      <w:lvlJc w:val="left"/>
      <w:pPr>
        <w:ind w:left="2148" w:hanging="360"/>
      </w:pPr>
      <w:rPr>
        <w:rFonts w:ascii="Times New Roman" w:eastAsia="Times New Roman" w:hAnsi="Times New Roman" w:cs="Times New Roman" w:hint="default"/>
        <w:spacing w:val="-2"/>
        <w:w w:val="99"/>
        <w:sz w:val="18"/>
        <w:szCs w:val="18"/>
      </w:rPr>
    </w:lvl>
    <w:lvl w:ilvl="1" w:tplc="181A0003" w:tentative="1">
      <w:start w:val="1"/>
      <w:numFmt w:val="bullet"/>
      <w:lvlText w:val="o"/>
      <w:lvlJc w:val="left"/>
      <w:pPr>
        <w:ind w:left="2868" w:hanging="360"/>
      </w:pPr>
      <w:rPr>
        <w:rFonts w:ascii="Courier New" w:hAnsi="Courier New" w:cs="Courier New" w:hint="default"/>
      </w:rPr>
    </w:lvl>
    <w:lvl w:ilvl="2" w:tplc="181A0005" w:tentative="1">
      <w:start w:val="1"/>
      <w:numFmt w:val="bullet"/>
      <w:lvlText w:val=""/>
      <w:lvlJc w:val="left"/>
      <w:pPr>
        <w:ind w:left="3588" w:hanging="360"/>
      </w:pPr>
      <w:rPr>
        <w:rFonts w:ascii="Wingdings" w:hAnsi="Wingdings" w:hint="default"/>
      </w:rPr>
    </w:lvl>
    <w:lvl w:ilvl="3" w:tplc="181A0001" w:tentative="1">
      <w:start w:val="1"/>
      <w:numFmt w:val="bullet"/>
      <w:lvlText w:val=""/>
      <w:lvlJc w:val="left"/>
      <w:pPr>
        <w:ind w:left="4308" w:hanging="360"/>
      </w:pPr>
      <w:rPr>
        <w:rFonts w:ascii="Symbol" w:hAnsi="Symbol" w:hint="default"/>
      </w:rPr>
    </w:lvl>
    <w:lvl w:ilvl="4" w:tplc="181A0003" w:tentative="1">
      <w:start w:val="1"/>
      <w:numFmt w:val="bullet"/>
      <w:lvlText w:val="o"/>
      <w:lvlJc w:val="left"/>
      <w:pPr>
        <w:ind w:left="5028" w:hanging="360"/>
      </w:pPr>
      <w:rPr>
        <w:rFonts w:ascii="Courier New" w:hAnsi="Courier New" w:cs="Courier New" w:hint="default"/>
      </w:rPr>
    </w:lvl>
    <w:lvl w:ilvl="5" w:tplc="181A0005" w:tentative="1">
      <w:start w:val="1"/>
      <w:numFmt w:val="bullet"/>
      <w:lvlText w:val=""/>
      <w:lvlJc w:val="left"/>
      <w:pPr>
        <w:ind w:left="5748" w:hanging="360"/>
      </w:pPr>
      <w:rPr>
        <w:rFonts w:ascii="Wingdings" w:hAnsi="Wingdings" w:hint="default"/>
      </w:rPr>
    </w:lvl>
    <w:lvl w:ilvl="6" w:tplc="181A0001" w:tentative="1">
      <w:start w:val="1"/>
      <w:numFmt w:val="bullet"/>
      <w:lvlText w:val=""/>
      <w:lvlJc w:val="left"/>
      <w:pPr>
        <w:ind w:left="6468" w:hanging="360"/>
      </w:pPr>
      <w:rPr>
        <w:rFonts w:ascii="Symbol" w:hAnsi="Symbol" w:hint="default"/>
      </w:rPr>
    </w:lvl>
    <w:lvl w:ilvl="7" w:tplc="181A0003" w:tentative="1">
      <w:start w:val="1"/>
      <w:numFmt w:val="bullet"/>
      <w:lvlText w:val="o"/>
      <w:lvlJc w:val="left"/>
      <w:pPr>
        <w:ind w:left="7188" w:hanging="360"/>
      </w:pPr>
      <w:rPr>
        <w:rFonts w:ascii="Courier New" w:hAnsi="Courier New" w:cs="Courier New" w:hint="default"/>
      </w:rPr>
    </w:lvl>
    <w:lvl w:ilvl="8" w:tplc="181A0005" w:tentative="1">
      <w:start w:val="1"/>
      <w:numFmt w:val="bullet"/>
      <w:lvlText w:val=""/>
      <w:lvlJc w:val="left"/>
      <w:pPr>
        <w:ind w:left="7908" w:hanging="360"/>
      </w:pPr>
      <w:rPr>
        <w:rFonts w:ascii="Wingdings" w:hAnsi="Wingdings" w:hint="default"/>
      </w:rPr>
    </w:lvl>
  </w:abstractNum>
  <w:abstractNum w:abstractNumId="19" w15:restartNumberingAfterBreak="0">
    <w:nsid w:val="6A370028"/>
    <w:multiLevelType w:val="hybridMultilevel"/>
    <w:tmpl w:val="F84633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B864EBE"/>
    <w:multiLevelType w:val="hybridMultilevel"/>
    <w:tmpl w:val="2B5CE2E4"/>
    <w:lvl w:ilvl="0" w:tplc="08090001">
      <w:start w:val="1"/>
      <w:numFmt w:val="bullet"/>
      <w:lvlText w:val=""/>
      <w:lvlJc w:val="left"/>
      <w:pPr>
        <w:ind w:left="2136" w:hanging="360"/>
      </w:pPr>
      <w:rPr>
        <w:rFonts w:ascii="Symbol" w:hAnsi="Symbol" w:hint="default"/>
        <w:spacing w:val="-2"/>
        <w:w w:val="99"/>
        <w:sz w:val="18"/>
        <w:szCs w:val="18"/>
      </w:rPr>
    </w:lvl>
    <w:lvl w:ilvl="1" w:tplc="241A0003">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1" w15:restartNumberingAfterBreak="0">
    <w:nsid w:val="6C2F1AF7"/>
    <w:multiLevelType w:val="hybridMultilevel"/>
    <w:tmpl w:val="55F895B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2" w15:restartNumberingAfterBreak="0">
    <w:nsid w:val="6E503475"/>
    <w:multiLevelType w:val="hybridMultilevel"/>
    <w:tmpl w:val="5A643E90"/>
    <w:lvl w:ilvl="0" w:tplc="08090001">
      <w:start w:val="1"/>
      <w:numFmt w:val="bullet"/>
      <w:lvlText w:val=""/>
      <w:lvlJc w:val="left"/>
      <w:pPr>
        <w:ind w:left="2136" w:hanging="360"/>
      </w:pPr>
      <w:rPr>
        <w:rFonts w:ascii="Symbol" w:hAnsi="Symbol" w:hint="default"/>
      </w:rPr>
    </w:lvl>
    <w:lvl w:ilvl="1" w:tplc="241A0003" w:tentative="1">
      <w:start w:val="1"/>
      <w:numFmt w:val="bullet"/>
      <w:lvlText w:val="o"/>
      <w:lvlJc w:val="left"/>
      <w:pPr>
        <w:ind w:left="2856" w:hanging="360"/>
      </w:pPr>
      <w:rPr>
        <w:rFonts w:ascii="Courier New" w:hAnsi="Courier New" w:cs="Courier New"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3" w15:restartNumberingAfterBreak="0">
    <w:nsid w:val="6F9C0615"/>
    <w:multiLevelType w:val="multilevel"/>
    <w:tmpl w:val="C1706A56"/>
    <w:styleLink w:val="Numerisanje"/>
    <w:lvl w:ilvl="0">
      <w:start w:val="1"/>
      <w:numFmt w:val="upperRoman"/>
      <w:lvlText w:val="%1"/>
      <w:lvlJc w:val="left"/>
      <w:pPr>
        <w:ind w:left="567" w:hanging="567"/>
      </w:pPr>
      <w:rPr>
        <w:rFonts w:ascii="Times New Roman" w:hAnsi="Times New Roman" w:hint="default"/>
        <w:b/>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1BE5C68"/>
    <w:multiLevelType w:val="hybridMultilevel"/>
    <w:tmpl w:val="A87624CE"/>
    <w:lvl w:ilvl="0" w:tplc="241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1B5036"/>
    <w:multiLevelType w:val="hybridMultilevel"/>
    <w:tmpl w:val="3B76A7F8"/>
    <w:lvl w:ilvl="0" w:tplc="241A0001">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26" w15:restartNumberingAfterBreak="0">
    <w:nsid w:val="735F5CF6"/>
    <w:multiLevelType w:val="hybridMultilevel"/>
    <w:tmpl w:val="508ECA92"/>
    <w:lvl w:ilvl="0" w:tplc="241A000F">
      <w:start w:val="1"/>
      <w:numFmt w:val="decimal"/>
      <w:lvlText w:val="%1."/>
      <w:lvlJc w:val="left"/>
      <w:pPr>
        <w:ind w:left="2136" w:hanging="360"/>
      </w:pPr>
    </w:lvl>
    <w:lvl w:ilvl="1" w:tplc="241A0019" w:tentative="1">
      <w:start w:val="1"/>
      <w:numFmt w:val="lowerLetter"/>
      <w:lvlText w:val="%2."/>
      <w:lvlJc w:val="left"/>
      <w:pPr>
        <w:ind w:left="2856" w:hanging="360"/>
      </w:pPr>
    </w:lvl>
    <w:lvl w:ilvl="2" w:tplc="241A001B" w:tentative="1">
      <w:start w:val="1"/>
      <w:numFmt w:val="lowerRoman"/>
      <w:lvlText w:val="%3."/>
      <w:lvlJc w:val="right"/>
      <w:pPr>
        <w:ind w:left="3576" w:hanging="180"/>
      </w:pPr>
    </w:lvl>
    <w:lvl w:ilvl="3" w:tplc="241A000F" w:tentative="1">
      <w:start w:val="1"/>
      <w:numFmt w:val="decimal"/>
      <w:lvlText w:val="%4."/>
      <w:lvlJc w:val="left"/>
      <w:pPr>
        <w:ind w:left="4296" w:hanging="360"/>
      </w:pPr>
    </w:lvl>
    <w:lvl w:ilvl="4" w:tplc="241A0019" w:tentative="1">
      <w:start w:val="1"/>
      <w:numFmt w:val="lowerLetter"/>
      <w:lvlText w:val="%5."/>
      <w:lvlJc w:val="left"/>
      <w:pPr>
        <w:ind w:left="5016" w:hanging="360"/>
      </w:pPr>
    </w:lvl>
    <w:lvl w:ilvl="5" w:tplc="241A001B" w:tentative="1">
      <w:start w:val="1"/>
      <w:numFmt w:val="lowerRoman"/>
      <w:lvlText w:val="%6."/>
      <w:lvlJc w:val="right"/>
      <w:pPr>
        <w:ind w:left="5736" w:hanging="180"/>
      </w:pPr>
    </w:lvl>
    <w:lvl w:ilvl="6" w:tplc="241A000F" w:tentative="1">
      <w:start w:val="1"/>
      <w:numFmt w:val="decimal"/>
      <w:lvlText w:val="%7."/>
      <w:lvlJc w:val="left"/>
      <w:pPr>
        <w:ind w:left="6456" w:hanging="360"/>
      </w:pPr>
    </w:lvl>
    <w:lvl w:ilvl="7" w:tplc="241A0019" w:tentative="1">
      <w:start w:val="1"/>
      <w:numFmt w:val="lowerLetter"/>
      <w:lvlText w:val="%8."/>
      <w:lvlJc w:val="left"/>
      <w:pPr>
        <w:ind w:left="7176" w:hanging="360"/>
      </w:pPr>
    </w:lvl>
    <w:lvl w:ilvl="8" w:tplc="241A001B" w:tentative="1">
      <w:start w:val="1"/>
      <w:numFmt w:val="lowerRoman"/>
      <w:lvlText w:val="%9."/>
      <w:lvlJc w:val="right"/>
      <w:pPr>
        <w:ind w:left="7896" w:hanging="180"/>
      </w:pPr>
    </w:lvl>
  </w:abstractNum>
  <w:abstractNum w:abstractNumId="27" w15:restartNumberingAfterBreak="0">
    <w:nsid w:val="79AA3721"/>
    <w:multiLevelType w:val="hybridMultilevel"/>
    <w:tmpl w:val="85DE312C"/>
    <w:lvl w:ilvl="0" w:tplc="08090001">
      <w:start w:val="1"/>
      <w:numFmt w:val="bullet"/>
      <w:lvlText w:val=""/>
      <w:lvlJc w:val="left"/>
      <w:pPr>
        <w:ind w:left="2136" w:hanging="360"/>
      </w:pPr>
      <w:rPr>
        <w:rFonts w:ascii="Symbol" w:hAnsi="Symbol" w:hint="default"/>
      </w:rPr>
    </w:lvl>
    <w:lvl w:ilvl="1" w:tplc="C74A0564">
      <w:numFmt w:val="bullet"/>
      <w:lvlText w:val="•"/>
      <w:lvlJc w:val="left"/>
      <w:pPr>
        <w:ind w:left="2856" w:hanging="360"/>
      </w:pPr>
      <w:rPr>
        <w:rFonts w:ascii="Calibri" w:eastAsiaTheme="minorHAnsi" w:hAnsi="Calibri" w:cs="Calibri"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8" w15:restartNumberingAfterBreak="0">
    <w:nsid w:val="79E229B7"/>
    <w:multiLevelType w:val="hybridMultilevel"/>
    <w:tmpl w:val="17D0D1EA"/>
    <w:lvl w:ilvl="0" w:tplc="C17676FC">
      <w:numFmt w:val="bullet"/>
      <w:lvlText w:val="-"/>
      <w:lvlJc w:val="left"/>
      <w:pPr>
        <w:ind w:left="2844" w:hanging="360"/>
      </w:pPr>
      <w:rPr>
        <w:rFonts w:ascii="Times New Roman" w:eastAsia="Times New Roman" w:hAnsi="Times New Roman" w:cs="Times New Roman" w:hint="default"/>
        <w:spacing w:val="-2"/>
        <w:w w:val="99"/>
        <w:sz w:val="18"/>
        <w:szCs w:val="18"/>
      </w:rPr>
    </w:lvl>
    <w:lvl w:ilvl="1" w:tplc="241A0003" w:tentative="1">
      <w:start w:val="1"/>
      <w:numFmt w:val="bullet"/>
      <w:lvlText w:val="o"/>
      <w:lvlJc w:val="left"/>
      <w:pPr>
        <w:ind w:left="3564" w:hanging="360"/>
      </w:pPr>
      <w:rPr>
        <w:rFonts w:ascii="Courier New" w:hAnsi="Courier New" w:cs="Courier New" w:hint="default"/>
      </w:rPr>
    </w:lvl>
    <w:lvl w:ilvl="2" w:tplc="241A0005" w:tentative="1">
      <w:start w:val="1"/>
      <w:numFmt w:val="bullet"/>
      <w:lvlText w:val=""/>
      <w:lvlJc w:val="left"/>
      <w:pPr>
        <w:ind w:left="4284" w:hanging="360"/>
      </w:pPr>
      <w:rPr>
        <w:rFonts w:ascii="Wingdings" w:hAnsi="Wingdings" w:hint="default"/>
      </w:rPr>
    </w:lvl>
    <w:lvl w:ilvl="3" w:tplc="241A0001" w:tentative="1">
      <w:start w:val="1"/>
      <w:numFmt w:val="bullet"/>
      <w:lvlText w:val=""/>
      <w:lvlJc w:val="left"/>
      <w:pPr>
        <w:ind w:left="5004" w:hanging="360"/>
      </w:pPr>
      <w:rPr>
        <w:rFonts w:ascii="Symbol" w:hAnsi="Symbol" w:hint="default"/>
      </w:rPr>
    </w:lvl>
    <w:lvl w:ilvl="4" w:tplc="241A0003" w:tentative="1">
      <w:start w:val="1"/>
      <w:numFmt w:val="bullet"/>
      <w:lvlText w:val="o"/>
      <w:lvlJc w:val="left"/>
      <w:pPr>
        <w:ind w:left="5724" w:hanging="360"/>
      </w:pPr>
      <w:rPr>
        <w:rFonts w:ascii="Courier New" w:hAnsi="Courier New" w:cs="Courier New" w:hint="default"/>
      </w:rPr>
    </w:lvl>
    <w:lvl w:ilvl="5" w:tplc="241A0005" w:tentative="1">
      <w:start w:val="1"/>
      <w:numFmt w:val="bullet"/>
      <w:lvlText w:val=""/>
      <w:lvlJc w:val="left"/>
      <w:pPr>
        <w:ind w:left="6444" w:hanging="360"/>
      </w:pPr>
      <w:rPr>
        <w:rFonts w:ascii="Wingdings" w:hAnsi="Wingdings" w:hint="default"/>
      </w:rPr>
    </w:lvl>
    <w:lvl w:ilvl="6" w:tplc="241A0001" w:tentative="1">
      <w:start w:val="1"/>
      <w:numFmt w:val="bullet"/>
      <w:lvlText w:val=""/>
      <w:lvlJc w:val="left"/>
      <w:pPr>
        <w:ind w:left="7164" w:hanging="360"/>
      </w:pPr>
      <w:rPr>
        <w:rFonts w:ascii="Symbol" w:hAnsi="Symbol" w:hint="default"/>
      </w:rPr>
    </w:lvl>
    <w:lvl w:ilvl="7" w:tplc="241A0003" w:tentative="1">
      <w:start w:val="1"/>
      <w:numFmt w:val="bullet"/>
      <w:lvlText w:val="o"/>
      <w:lvlJc w:val="left"/>
      <w:pPr>
        <w:ind w:left="7884" w:hanging="360"/>
      </w:pPr>
      <w:rPr>
        <w:rFonts w:ascii="Courier New" w:hAnsi="Courier New" w:cs="Courier New" w:hint="default"/>
      </w:rPr>
    </w:lvl>
    <w:lvl w:ilvl="8" w:tplc="241A0005" w:tentative="1">
      <w:start w:val="1"/>
      <w:numFmt w:val="bullet"/>
      <w:lvlText w:val=""/>
      <w:lvlJc w:val="left"/>
      <w:pPr>
        <w:ind w:left="8604" w:hanging="360"/>
      </w:pPr>
      <w:rPr>
        <w:rFonts w:ascii="Wingdings" w:hAnsi="Wingdings" w:hint="default"/>
      </w:rPr>
    </w:lvl>
  </w:abstractNum>
  <w:num w:numId="1">
    <w:abstractNumId w:val="13"/>
  </w:num>
  <w:num w:numId="2">
    <w:abstractNumId w:val="6"/>
  </w:num>
  <w:num w:numId="3">
    <w:abstractNumId w:val="15"/>
  </w:num>
  <w:num w:numId="4">
    <w:abstractNumId w:val="23"/>
  </w:num>
  <w:num w:numId="5">
    <w:abstractNumId w:val="10"/>
  </w:num>
  <w:num w:numId="6">
    <w:abstractNumId w:val="3"/>
  </w:num>
  <w:num w:numId="7">
    <w:abstractNumId w:val="14"/>
  </w:num>
  <w:num w:numId="8">
    <w:abstractNumId w:val="24"/>
  </w:num>
  <w:num w:numId="9">
    <w:abstractNumId w:val="19"/>
  </w:num>
  <w:num w:numId="10">
    <w:abstractNumId w:val="25"/>
  </w:num>
  <w:num w:numId="11">
    <w:abstractNumId w:val="0"/>
  </w:num>
  <w:num w:numId="12">
    <w:abstractNumId w:val="1"/>
  </w:num>
  <w:num w:numId="13">
    <w:abstractNumId w:val="16"/>
  </w:num>
  <w:num w:numId="14">
    <w:abstractNumId w:val="2"/>
  </w:num>
  <w:num w:numId="15">
    <w:abstractNumId w:val="5"/>
  </w:num>
  <w:num w:numId="16">
    <w:abstractNumId w:val="4"/>
  </w:num>
  <w:num w:numId="17">
    <w:abstractNumId w:val="9"/>
  </w:num>
  <w:num w:numId="18">
    <w:abstractNumId w:val="11"/>
  </w:num>
  <w:num w:numId="19">
    <w:abstractNumId w:val="12"/>
  </w:num>
  <w:num w:numId="20">
    <w:abstractNumId w:val="28"/>
  </w:num>
  <w:num w:numId="21">
    <w:abstractNumId w:val="20"/>
  </w:num>
  <w:num w:numId="22">
    <w:abstractNumId w:val="27"/>
  </w:num>
  <w:num w:numId="23">
    <w:abstractNumId w:val="17"/>
  </w:num>
  <w:num w:numId="24">
    <w:abstractNumId w:val="7"/>
  </w:num>
  <w:num w:numId="25">
    <w:abstractNumId w:val="22"/>
  </w:num>
  <w:num w:numId="26">
    <w:abstractNumId w:val="26"/>
  </w:num>
  <w:num w:numId="27">
    <w:abstractNumId w:val="8"/>
  </w:num>
  <w:num w:numId="28">
    <w:abstractNumId w:val="18"/>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8EF"/>
    <w:rsid w:val="00000520"/>
    <w:rsid w:val="00002758"/>
    <w:rsid w:val="00010815"/>
    <w:rsid w:val="0001135A"/>
    <w:rsid w:val="0001230C"/>
    <w:rsid w:val="00012A2A"/>
    <w:rsid w:val="00013EC5"/>
    <w:rsid w:val="00014B23"/>
    <w:rsid w:val="00017AE1"/>
    <w:rsid w:val="00026933"/>
    <w:rsid w:val="000274B1"/>
    <w:rsid w:val="00034C61"/>
    <w:rsid w:val="00034E5A"/>
    <w:rsid w:val="00035CC3"/>
    <w:rsid w:val="00036827"/>
    <w:rsid w:val="000401FD"/>
    <w:rsid w:val="00040FA4"/>
    <w:rsid w:val="00046434"/>
    <w:rsid w:val="000472AB"/>
    <w:rsid w:val="000524E6"/>
    <w:rsid w:val="00052CF8"/>
    <w:rsid w:val="0005395C"/>
    <w:rsid w:val="000600A0"/>
    <w:rsid w:val="000704FD"/>
    <w:rsid w:val="00070763"/>
    <w:rsid w:val="00072953"/>
    <w:rsid w:val="00077D9C"/>
    <w:rsid w:val="00083935"/>
    <w:rsid w:val="00090FC2"/>
    <w:rsid w:val="00091285"/>
    <w:rsid w:val="00092F95"/>
    <w:rsid w:val="0009324C"/>
    <w:rsid w:val="00093857"/>
    <w:rsid w:val="000A06F5"/>
    <w:rsid w:val="000A75ED"/>
    <w:rsid w:val="000A7EA2"/>
    <w:rsid w:val="000B04CD"/>
    <w:rsid w:val="000B3AEA"/>
    <w:rsid w:val="000C2D2F"/>
    <w:rsid w:val="000C6E09"/>
    <w:rsid w:val="000C711B"/>
    <w:rsid w:val="000C7E87"/>
    <w:rsid w:val="000D005A"/>
    <w:rsid w:val="000D5B93"/>
    <w:rsid w:val="000D6FED"/>
    <w:rsid w:val="000E1477"/>
    <w:rsid w:val="000E7CF3"/>
    <w:rsid w:val="000F4AAF"/>
    <w:rsid w:val="000F5C04"/>
    <w:rsid w:val="001163A8"/>
    <w:rsid w:val="00125192"/>
    <w:rsid w:val="00125ABA"/>
    <w:rsid w:val="00130BFD"/>
    <w:rsid w:val="00131220"/>
    <w:rsid w:val="00131435"/>
    <w:rsid w:val="001374B3"/>
    <w:rsid w:val="001416A3"/>
    <w:rsid w:val="001528EB"/>
    <w:rsid w:val="00153592"/>
    <w:rsid w:val="001538EF"/>
    <w:rsid w:val="00155069"/>
    <w:rsid w:val="00161F70"/>
    <w:rsid w:val="0016662A"/>
    <w:rsid w:val="00170349"/>
    <w:rsid w:val="00171AD4"/>
    <w:rsid w:val="001722C2"/>
    <w:rsid w:val="001769FF"/>
    <w:rsid w:val="00184B20"/>
    <w:rsid w:val="00185E75"/>
    <w:rsid w:val="00185EB3"/>
    <w:rsid w:val="0019136D"/>
    <w:rsid w:val="00194C22"/>
    <w:rsid w:val="00195FB5"/>
    <w:rsid w:val="0019779B"/>
    <w:rsid w:val="001A0581"/>
    <w:rsid w:val="001A4047"/>
    <w:rsid w:val="001A4B1A"/>
    <w:rsid w:val="001A6ED0"/>
    <w:rsid w:val="001A7D95"/>
    <w:rsid w:val="001C0601"/>
    <w:rsid w:val="001C27A1"/>
    <w:rsid w:val="001C46D1"/>
    <w:rsid w:val="001C59B8"/>
    <w:rsid w:val="001C6292"/>
    <w:rsid w:val="001C6631"/>
    <w:rsid w:val="001D04EC"/>
    <w:rsid w:val="001D676F"/>
    <w:rsid w:val="001D6AF5"/>
    <w:rsid w:val="001E1714"/>
    <w:rsid w:val="001E3AE7"/>
    <w:rsid w:val="001E6388"/>
    <w:rsid w:val="001F539D"/>
    <w:rsid w:val="00202D09"/>
    <w:rsid w:val="00210D8B"/>
    <w:rsid w:val="002140FA"/>
    <w:rsid w:val="00215648"/>
    <w:rsid w:val="00215F23"/>
    <w:rsid w:val="00222447"/>
    <w:rsid w:val="00224AC6"/>
    <w:rsid w:val="00226538"/>
    <w:rsid w:val="002335D6"/>
    <w:rsid w:val="00235313"/>
    <w:rsid w:val="00244867"/>
    <w:rsid w:val="00245346"/>
    <w:rsid w:val="00245931"/>
    <w:rsid w:val="00252796"/>
    <w:rsid w:val="00254480"/>
    <w:rsid w:val="002575E6"/>
    <w:rsid w:val="00257B08"/>
    <w:rsid w:val="0026077C"/>
    <w:rsid w:val="002661D0"/>
    <w:rsid w:val="002663DB"/>
    <w:rsid w:val="00266942"/>
    <w:rsid w:val="00266AB6"/>
    <w:rsid w:val="0027783B"/>
    <w:rsid w:val="002801CF"/>
    <w:rsid w:val="002878D8"/>
    <w:rsid w:val="002908EC"/>
    <w:rsid w:val="0029169D"/>
    <w:rsid w:val="00295AE9"/>
    <w:rsid w:val="002A1615"/>
    <w:rsid w:val="002A1C02"/>
    <w:rsid w:val="002B5C72"/>
    <w:rsid w:val="002C09A5"/>
    <w:rsid w:val="002D3CB6"/>
    <w:rsid w:val="002D5D0D"/>
    <w:rsid w:val="002E12C8"/>
    <w:rsid w:val="002E5020"/>
    <w:rsid w:val="002E51B0"/>
    <w:rsid w:val="002E7B50"/>
    <w:rsid w:val="002F1FCA"/>
    <w:rsid w:val="002F4197"/>
    <w:rsid w:val="00301192"/>
    <w:rsid w:val="00301497"/>
    <w:rsid w:val="00302993"/>
    <w:rsid w:val="00304E1F"/>
    <w:rsid w:val="00315AFE"/>
    <w:rsid w:val="00320A3D"/>
    <w:rsid w:val="00321FA8"/>
    <w:rsid w:val="00325EEB"/>
    <w:rsid w:val="0033083E"/>
    <w:rsid w:val="00330E93"/>
    <w:rsid w:val="0033285C"/>
    <w:rsid w:val="00334919"/>
    <w:rsid w:val="00335B1E"/>
    <w:rsid w:val="00340CAF"/>
    <w:rsid w:val="003426AA"/>
    <w:rsid w:val="0034546F"/>
    <w:rsid w:val="003547B5"/>
    <w:rsid w:val="00364050"/>
    <w:rsid w:val="003661A0"/>
    <w:rsid w:val="003723CC"/>
    <w:rsid w:val="00373796"/>
    <w:rsid w:val="00374924"/>
    <w:rsid w:val="00383DB0"/>
    <w:rsid w:val="0039637A"/>
    <w:rsid w:val="00396382"/>
    <w:rsid w:val="003A0742"/>
    <w:rsid w:val="003A2EBA"/>
    <w:rsid w:val="003A3A27"/>
    <w:rsid w:val="003B072A"/>
    <w:rsid w:val="003B2D9A"/>
    <w:rsid w:val="003B2F4F"/>
    <w:rsid w:val="003B5CD3"/>
    <w:rsid w:val="003C023B"/>
    <w:rsid w:val="003C48BF"/>
    <w:rsid w:val="003C7776"/>
    <w:rsid w:val="003C7861"/>
    <w:rsid w:val="003D0D57"/>
    <w:rsid w:val="003D2212"/>
    <w:rsid w:val="003D6595"/>
    <w:rsid w:val="003D7300"/>
    <w:rsid w:val="003E1DF3"/>
    <w:rsid w:val="003E21A9"/>
    <w:rsid w:val="003E2BB3"/>
    <w:rsid w:val="003E3504"/>
    <w:rsid w:val="003F520C"/>
    <w:rsid w:val="003F754B"/>
    <w:rsid w:val="003F77E8"/>
    <w:rsid w:val="00403900"/>
    <w:rsid w:val="00403F89"/>
    <w:rsid w:val="004101DD"/>
    <w:rsid w:val="00411A65"/>
    <w:rsid w:val="00412718"/>
    <w:rsid w:val="0041362C"/>
    <w:rsid w:val="0041746A"/>
    <w:rsid w:val="0042190C"/>
    <w:rsid w:val="004221E8"/>
    <w:rsid w:val="00424A91"/>
    <w:rsid w:val="00425136"/>
    <w:rsid w:val="004259DC"/>
    <w:rsid w:val="0043783E"/>
    <w:rsid w:val="00440194"/>
    <w:rsid w:val="004439A7"/>
    <w:rsid w:val="00444161"/>
    <w:rsid w:val="00444987"/>
    <w:rsid w:val="00451648"/>
    <w:rsid w:val="00454C9F"/>
    <w:rsid w:val="00457A6B"/>
    <w:rsid w:val="00462BE1"/>
    <w:rsid w:val="00471A95"/>
    <w:rsid w:val="00471EC5"/>
    <w:rsid w:val="004732B5"/>
    <w:rsid w:val="004734C2"/>
    <w:rsid w:val="00480EFE"/>
    <w:rsid w:val="0048131B"/>
    <w:rsid w:val="004828F7"/>
    <w:rsid w:val="004916E6"/>
    <w:rsid w:val="00492D7B"/>
    <w:rsid w:val="004A1318"/>
    <w:rsid w:val="004A1761"/>
    <w:rsid w:val="004A241E"/>
    <w:rsid w:val="004A36D0"/>
    <w:rsid w:val="004A7742"/>
    <w:rsid w:val="004B13E7"/>
    <w:rsid w:val="004B146F"/>
    <w:rsid w:val="004B2397"/>
    <w:rsid w:val="004B568F"/>
    <w:rsid w:val="004B6981"/>
    <w:rsid w:val="004C0CBD"/>
    <w:rsid w:val="004D0269"/>
    <w:rsid w:val="004D360B"/>
    <w:rsid w:val="004D59EF"/>
    <w:rsid w:val="004E0037"/>
    <w:rsid w:val="004E2487"/>
    <w:rsid w:val="004E7FA3"/>
    <w:rsid w:val="004F03D0"/>
    <w:rsid w:val="00500F41"/>
    <w:rsid w:val="005030FC"/>
    <w:rsid w:val="00514FFF"/>
    <w:rsid w:val="0052360C"/>
    <w:rsid w:val="005311A9"/>
    <w:rsid w:val="00534931"/>
    <w:rsid w:val="00536E78"/>
    <w:rsid w:val="00543B93"/>
    <w:rsid w:val="00545FA4"/>
    <w:rsid w:val="00547B4E"/>
    <w:rsid w:val="00553306"/>
    <w:rsid w:val="00553AEA"/>
    <w:rsid w:val="005541C1"/>
    <w:rsid w:val="0055687E"/>
    <w:rsid w:val="0056585F"/>
    <w:rsid w:val="00565F4D"/>
    <w:rsid w:val="00572EC5"/>
    <w:rsid w:val="005752D5"/>
    <w:rsid w:val="00575C8E"/>
    <w:rsid w:val="005767EF"/>
    <w:rsid w:val="00580046"/>
    <w:rsid w:val="00584620"/>
    <w:rsid w:val="00585AD3"/>
    <w:rsid w:val="005912C6"/>
    <w:rsid w:val="00592C50"/>
    <w:rsid w:val="00593423"/>
    <w:rsid w:val="005934B2"/>
    <w:rsid w:val="00593546"/>
    <w:rsid w:val="00594C6E"/>
    <w:rsid w:val="005A5E2F"/>
    <w:rsid w:val="005A7BAC"/>
    <w:rsid w:val="005B2B10"/>
    <w:rsid w:val="005B57E0"/>
    <w:rsid w:val="005B6F87"/>
    <w:rsid w:val="005C35BE"/>
    <w:rsid w:val="005D0BE8"/>
    <w:rsid w:val="005D2C1F"/>
    <w:rsid w:val="005D2D24"/>
    <w:rsid w:val="005D3925"/>
    <w:rsid w:val="005D5536"/>
    <w:rsid w:val="005D68A8"/>
    <w:rsid w:val="005E197E"/>
    <w:rsid w:val="005E7B5D"/>
    <w:rsid w:val="005F1070"/>
    <w:rsid w:val="005F6227"/>
    <w:rsid w:val="005F70EB"/>
    <w:rsid w:val="00603916"/>
    <w:rsid w:val="00607F7C"/>
    <w:rsid w:val="00612143"/>
    <w:rsid w:val="00615026"/>
    <w:rsid w:val="00617810"/>
    <w:rsid w:val="00617C37"/>
    <w:rsid w:val="00626C5F"/>
    <w:rsid w:val="00631FFF"/>
    <w:rsid w:val="00646C62"/>
    <w:rsid w:val="00651E63"/>
    <w:rsid w:val="00655955"/>
    <w:rsid w:val="0066469A"/>
    <w:rsid w:val="0066471A"/>
    <w:rsid w:val="00667021"/>
    <w:rsid w:val="00667E06"/>
    <w:rsid w:val="006702AB"/>
    <w:rsid w:val="00670FF0"/>
    <w:rsid w:val="006727C1"/>
    <w:rsid w:val="00673EDF"/>
    <w:rsid w:val="006743A0"/>
    <w:rsid w:val="00674803"/>
    <w:rsid w:val="0067565F"/>
    <w:rsid w:val="00683FFC"/>
    <w:rsid w:val="00684A7B"/>
    <w:rsid w:val="00687171"/>
    <w:rsid w:val="0069428E"/>
    <w:rsid w:val="006A5837"/>
    <w:rsid w:val="006B0198"/>
    <w:rsid w:val="006B0FF2"/>
    <w:rsid w:val="006B34BD"/>
    <w:rsid w:val="006B3D49"/>
    <w:rsid w:val="006B5569"/>
    <w:rsid w:val="006C1A84"/>
    <w:rsid w:val="006C4976"/>
    <w:rsid w:val="006D4CD2"/>
    <w:rsid w:val="006E1977"/>
    <w:rsid w:val="006E40F1"/>
    <w:rsid w:val="006E7FF2"/>
    <w:rsid w:val="006F13EC"/>
    <w:rsid w:val="006F1C03"/>
    <w:rsid w:val="006F5BAE"/>
    <w:rsid w:val="006F5BD9"/>
    <w:rsid w:val="006F6528"/>
    <w:rsid w:val="0070006A"/>
    <w:rsid w:val="0070222F"/>
    <w:rsid w:val="00702D51"/>
    <w:rsid w:val="00705FDC"/>
    <w:rsid w:val="00713AF5"/>
    <w:rsid w:val="00714BA7"/>
    <w:rsid w:val="0071581A"/>
    <w:rsid w:val="007224A3"/>
    <w:rsid w:val="00724D24"/>
    <w:rsid w:val="007259AE"/>
    <w:rsid w:val="0073303C"/>
    <w:rsid w:val="007339B5"/>
    <w:rsid w:val="007377DB"/>
    <w:rsid w:val="0074097F"/>
    <w:rsid w:val="007434A3"/>
    <w:rsid w:val="00744537"/>
    <w:rsid w:val="007460B5"/>
    <w:rsid w:val="007534DD"/>
    <w:rsid w:val="0075475E"/>
    <w:rsid w:val="0076154D"/>
    <w:rsid w:val="00761F19"/>
    <w:rsid w:val="0077190E"/>
    <w:rsid w:val="00774626"/>
    <w:rsid w:val="00775661"/>
    <w:rsid w:val="00776797"/>
    <w:rsid w:val="007851DE"/>
    <w:rsid w:val="00786121"/>
    <w:rsid w:val="00792678"/>
    <w:rsid w:val="00794573"/>
    <w:rsid w:val="007A29C2"/>
    <w:rsid w:val="007A71BF"/>
    <w:rsid w:val="007B1F0E"/>
    <w:rsid w:val="007B2869"/>
    <w:rsid w:val="007B3016"/>
    <w:rsid w:val="007B3B64"/>
    <w:rsid w:val="007B6974"/>
    <w:rsid w:val="007C2E76"/>
    <w:rsid w:val="007C3977"/>
    <w:rsid w:val="007C74A2"/>
    <w:rsid w:val="007D276B"/>
    <w:rsid w:val="007E076E"/>
    <w:rsid w:val="007E2AAA"/>
    <w:rsid w:val="007E6644"/>
    <w:rsid w:val="007F232A"/>
    <w:rsid w:val="00800CD6"/>
    <w:rsid w:val="00801C08"/>
    <w:rsid w:val="00802A85"/>
    <w:rsid w:val="00804592"/>
    <w:rsid w:val="0080620E"/>
    <w:rsid w:val="008068FA"/>
    <w:rsid w:val="00811D04"/>
    <w:rsid w:val="008134F3"/>
    <w:rsid w:val="00822ECE"/>
    <w:rsid w:val="00823088"/>
    <w:rsid w:val="00823B1A"/>
    <w:rsid w:val="008307BD"/>
    <w:rsid w:val="00832469"/>
    <w:rsid w:val="00836834"/>
    <w:rsid w:val="00836EF2"/>
    <w:rsid w:val="008412E8"/>
    <w:rsid w:val="0084494C"/>
    <w:rsid w:val="00847319"/>
    <w:rsid w:val="00847B43"/>
    <w:rsid w:val="00854960"/>
    <w:rsid w:val="008565C8"/>
    <w:rsid w:val="008606D0"/>
    <w:rsid w:val="008617B4"/>
    <w:rsid w:val="00862348"/>
    <w:rsid w:val="00862F67"/>
    <w:rsid w:val="00874DE2"/>
    <w:rsid w:val="00876546"/>
    <w:rsid w:val="00876764"/>
    <w:rsid w:val="00881C61"/>
    <w:rsid w:val="00886690"/>
    <w:rsid w:val="00890FF8"/>
    <w:rsid w:val="00892214"/>
    <w:rsid w:val="00894936"/>
    <w:rsid w:val="008A00FD"/>
    <w:rsid w:val="008A3C49"/>
    <w:rsid w:val="008A780A"/>
    <w:rsid w:val="008B5A35"/>
    <w:rsid w:val="008C27E1"/>
    <w:rsid w:val="008C6F9F"/>
    <w:rsid w:val="008D07B2"/>
    <w:rsid w:val="008D3DAA"/>
    <w:rsid w:val="008D6704"/>
    <w:rsid w:val="008D7B5A"/>
    <w:rsid w:val="008E023F"/>
    <w:rsid w:val="008E0518"/>
    <w:rsid w:val="008E49D3"/>
    <w:rsid w:val="008F374A"/>
    <w:rsid w:val="008F3863"/>
    <w:rsid w:val="008F42D1"/>
    <w:rsid w:val="008F5013"/>
    <w:rsid w:val="008F7B16"/>
    <w:rsid w:val="00900F10"/>
    <w:rsid w:val="0090194B"/>
    <w:rsid w:val="009051D2"/>
    <w:rsid w:val="009065AC"/>
    <w:rsid w:val="00910D8B"/>
    <w:rsid w:val="00914272"/>
    <w:rsid w:val="0092287D"/>
    <w:rsid w:val="009302D8"/>
    <w:rsid w:val="00932859"/>
    <w:rsid w:val="009342FB"/>
    <w:rsid w:val="009346DA"/>
    <w:rsid w:val="00937B34"/>
    <w:rsid w:val="00942B0B"/>
    <w:rsid w:val="00947FBF"/>
    <w:rsid w:val="00954F20"/>
    <w:rsid w:val="00957F9F"/>
    <w:rsid w:val="00961BDD"/>
    <w:rsid w:val="00962AF1"/>
    <w:rsid w:val="00971504"/>
    <w:rsid w:val="00976A36"/>
    <w:rsid w:val="009809F9"/>
    <w:rsid w:val="00993BBD"/>
    <w:rsid w:val="009A0798"/>
    <w:rsid w:val="009A6DC9"/>
    <w:rsid w:val="009A753D"/>
    <w:rsid w:val="009B4556"/>
    <w:rsid w:val="009B6FAB"/>
    <w:rsid w:val="009C697E"/>
    <w:rsid w:val="009C69A5"/>
    <w:rsid w:val="009C7D7A"/>
    <w:rsid w:val="009D073F"/>
    <w:rsid w:val="009D59E8"/>
    <w:rsid w:val="009E4517"/>
    <w:rsid w:val="009E6B93"/>
    <w:rsid w:val="009F0184"/>
    <w:rsid w:val="009F618F"/>
    <w:rsid w:val="009F6464"/>
    <w:rsid w:val="009F70C0"/>
    <w:rsid w:val="00A02A8B"/>
    <w:rsid w:val="00A12076"/>
    <w:rsid w:val="00A13C00"/>
    <w:rsid w:val="00A21B44"/>
    <w:rsid w:val="00A23BC7"/>
    <w:rsid w:val="00A306B7"/>
    <w:rsid w:val="00A3089B"/>
    <w:rsid w:val="00A3442E"/>
    <w:rsid w:val="00A349D6"/>
    <w:rsid w:val="00A408DF"/>
    <w:rsid w:val="00A40E1F"/>
    <w:rsid w:val="00A426D1"/>
    <w:rsid w:val="00A43A26"/>
    <w:rsid w:val="00A43C1F"/>
    <w:rsid w:val="00A445D7"/>
    <w:rsid w:val="00A522F7"/>
    <w:rsid w:val="00A561E0"/>
    <w:rsid w:val="00A571BC"/>
    <w:rsid w:val="00A576A5"/>
    <w:rsid w:val="00A57BE7"/>
    <w:rsid w:val="00A57DBA"/>
    <w:rsid w:val="00A64AF6"/>
    <w:rsid w:val="00A6503C"/>
    <w:rsid w:val="00A73D0A"/>
    <w:rsid w:val="00A84CAD"/>
    <w:rsid w:val="00A84DF8"/>
    <w:rsid w:val="00A92294"/>
    <w:rsid w:val="00A92F7A"/>
    <w:rsid w:val="00A944C8"/>
    <w:rsid w:val="00A94CD4"/>
    <w:rsid w:val="00AA0732"/>
    <w:rsid w:val="00AB1552"/>
    <w:rsid w:val="00AC030A"/>
    <w:rsid w:val="00AC07D0"/>
    <w:rsid w:val="00AD5361"/>
    <w:rsid w:val="00AE0DAF"/>
    <w:rsid w:val="00AE53CB"/>
    <w:rsid w:val="00AE7647"/>
    <w:rsid w:val="00AF0599"/>
    <w:rsid w:val="00AF19F7"/>
    <w:rsid w:val="00AF1DA9"/>
    <w:rsid w:val="00AF5676"/>
    <w:rsid w:val="00B00123"/>
    <w:rsid w:val="00B1743F"/>
    <w:rsid w:val="00B31B68"/>
    <w:rsid w:val="00B31BD7"/>
    <w:rsid w:val="00B343C6"/>
    <w:rsid w:val="00B35C5E"/>
    <w:rsid w:val="00B414B5"/>
    <w:rsid w:val="00B44D0C"/>
    <w:rsid w:val="00B44F5F"/>
    <w:rsid w:val="00B46941"/>
    <w:rsid w:val="00B5068E"/>
    <w:rsid w:val="00B50FBE"/>
    <w:rsid w:val="00B525CF"/>
    <w:rsid w:val="00B54DD1"/>
    <w:rsid w:val="00B563CF"/>
    <w:rsid w:val="00B56D60"/>
    <w:rsid w:val="00B579BB"/>
    <w:rsid w:val="00B75871"/>
    <w:rsid w:val="00B769DD"/>
    <w:rsid w:val="00B77B97"/>
    <w:rsid w:val="00B81C29"/>
    <w:rsid w:val="00B84B91"/>
    <w:rsid w:val="00B86275"/>
    <w:rsid w:val="00B8692C"/>
    <w:rsid w:val="00B94C03"/>
    <w:rsid w:val="00BA0C56"/>
    <w:rsid w:val="00BA1682"/>
    <w:rsid w:val="00BA1F0A"/>
    <w:rsid w:val="00BA2264"/>
    <w:rsid w:val="00BA37B9"/>
    <w:rsid w:val="00BB1603"/>
    <w:rsid w:val="00BB633C"/>
    <w:rsid w:val="00BC2C1B"/>
    <w:rsid w:val="00BC4BEA"/>
    <w:rsid w:val="00BC4DFD"/>
    <w:rsid w:val="00BC5934"/>
    <w:rsid w:val="00BC6981"/>
    <w:rsid w:val="00BD3482"/>
    <w:rsid w:val="00BD4926"/>
    <w:rsid w:val="00BD6347"/>
    <w:rsid w:val="00BD6792"/>
    <w:rsid w:val="00BE06A5"/>
    <w:rsid w:val="00BE15F9"/>
    <w:rsid w:val="00BE64CF"/>
    <w:rsid w:val="00BE6F42"/>
    <w:rsid w:val="00BF3550"/>
    <w:rsid w:val="00BF5170"/>
    <w:rsid w:val="00C04095"/>
    <w:rsid w:val="00C120D5"/>
    <w:rsid w:val="00C12ECB"/>
    <w:rsid w:val="00C14A0F"/>
    <w:rsid w:val="00C277CE"/>
    <w:rsid w:val="00C43C3A"/>
    <w:rsid w:val="00C442DB"/>
    <w:rsid w:val="00C547E3"/>
    <w:rsid w:val="00C554F6"/>
    <w:rsid w:val="00C5563A"/>
    <w:rsid w:val="00C64197"/>
    <w:rsid w:val="00C66305"/>
    <w:rsid w:val="00C71500"/>
    <w:rsid w:val="00C71960"/>
    <w:rsid w:val="00C72B91"/>
    <w:rsid w:val="00C741B4"/>
    <w:rsid w:val="00C765E8"/>
    <w:rsid w:val="00C76A89"/>
    <w:rsid w:val="00C779CA"/>
    <w:rsid w:val="00C81AA1"/>
    <w:rsid w:val="00C82041"/>
    <w:rsid w:val="00C83136"/>
    <w:rsid w:val="00C83692"/>
    <w:rsid w:val="00C83A25"/>
    <w:rsid w:val="00C969EE"/>
    <w:rsid w:val="00CA2358"/>
    <w:rsid w:val="00CA28AF"/>
    <w:rsid w:val="00CA5F52"/>
    <w:rsid w:val="00CA6C43"/>
    <w:rsid w:val="00CB12D5"/>
    <w:rsid w:val="00CC181D"/>
    <w:rsid w:val="00CE2CCD"/>
    <w:rsid w:val="00CF1455"/>
    <w:rsid w:val="00CF5C14"/>
    <w:rsid w:val="00CF6A86"/>
    <w:rsid w:val="00D01BB3"/>
    <w:rsid w:val="00D059DD"/>
    <w:rsid w:val="00D14A0D"/>
    <w:rsid w:val="00D15B00"/>
    <w:rsid w:val="00D16291"/>
    <w:rsid w:val="00D24503"/>
    <w:rsid w:val="00D25A1F"/>
    <w:rsid w:val="00D2700D"/>
    <w:rsid w:val="00D35399"/>
    <w:rsid w:val="00D362E3"/>
    <w:rsid w:val="00D368D4"/>
    <w:rsid w:val="00D36A7E"/>
    <w:rsid w:val="00D42F9E"/>
    <w:rsid w:val="00D44C0D"/>
    <w:rsid w:val="00D452DA"/>
    <w:rsid w:val="00D471AA"/>
    <w:rsid w:val="00D53F87"/>
    <w:rsid w:val="00D56712"/>
    <w:rsid w:val="00D57537"/>
    <w:rsid w:val="00D61F52"/>
    <w:rsid w:val="00D63B52"/>
    <w:rsid w:val="00D65DBC"/>
    <w:rsid w:val="00D70BEE"/>
    <w:rsid w:val="00D71C9D"/>
    <w:rsid w:val="00D77E84"/>
    <w:rsid w:val="00D83063"/>
    <w:rsid w:val="00D834EE"/>
    <w:rsid w:val="00DA21E9"/>
    <w:rsid w:val="00DA2523"/>
    <w:rsid w:val="00DB0D07"/>
    <w:rsid w:val="00DB10AE"/>
    <w:rsid w:val="00DB46A9"/>
    <w:rsid w:val="00DB5231"/>
    <w:rsid w:val="00DB7831"/>
    <w:rsid w:val="00DC0C8B"/>
    <w:rsid w:val="00DC1AD9"/>
    <w:rsid w:val="00DC72FE"/>
    <w:rsid w:val="00DC77E0"/>
    <w:rsid w:val="00DD273B"/>
    <w:rsid w:val="00DD2BAA"/>
    <w:rsid w:val="00DD4683"/>
    <w:rsid w:val="00DD5804"/>
    <w:rsid w:val="00DE0267"/>
    <w:rsid w:val="00DE3404"/>
    <w:rsid w:val="00DE601E"/>
    <w:rsid w:val="00DF0E2C"/>
    <w:rsid w:val="00DF3C30"/>
    <w:rsid w:val="00DF5027"/>
    <w:rsid w:val="00E00B0B"/>
    <w:rsid w:val="00E01192"/>
    <w:rsid w:val="00E037F4"/>
    <w:rsid w:val="00E04851"/>
    <w:rsid w:val="00E13F69"/>
    <w:rsid w:val="00E153D1"/>
    <w:rsid w:val="00E16DD7"/>
    <w:rsid w:val="00E17709"/>
    <w:rsid w:val="00E236D5"/>
    <w:rsid w:val="00E3312F"/>
    <w:rsid w:val="00E356BB"/>
    <w:rsid w:val="00E37A97"/>
    <w:rsid w:val="00E41B56"/>
    <w:rsid w:val="00E42BFF"/>
    <w:rsid w:val="00E46092"/>
    <w:rsid w:val="00E46707"/>
    <w:rsid w:val="00E50755"/>
    <w:rsid w:val="00E507E7"/>
    <w:rsid w:val="00E51A1A"/>
    <w:rsid w:val="00E606D0"/>
    <w:rsid w:val="00E6374A"/>
    <w:rsid w:val="00E663D1"/>
    <w:rsid w:val="00E66BA7"/>
    <w:rsid w:val="00E6703F"/>
    <w:rsid w:val="00E741ED"/>
    <w:rsid w:val="00E762ED"/>
    <w:rsid w:val="00E768AF"/>
    <w:rsid w:val="00E84021"/>
    <w:rsid w:val="00E85509"/>
    <w:rsid w:val="00E86D8D"/>
    <w:rsid w:val="00E902E2"/>
    <w:rsid w:val="00E90D1F"/>
    <w:rsid w:val="00E9137A"/>
    <w:rsid w:val="00E91AC3"/>
    <w:rsid w:val="00EA08D5"/>
    <w:rsid w:val="00EA611B"/>
    <w:rsid w:val="00EA7186"/>
    <w:rsid w:val="00EB4CFD"/>
    <w:rsid w:val="00EC5CB8"/>
    <w:rsid w:val="00ED1AED"/>
    <w:rsid w:val="00EE027C"/>
    <w:rsid w:val="00EE16CE"/>
    <w:rsid w:val="00EE5F06"/>
    <w:rsid w:val="00EE6483"/>
    <w:rsid w:val="00EE734C"/>
    <w:rsid w:val="00EF084E"/>
    <w:rsid w:val="00EF150A"/>
    <w:rsid w:val="00EF349E"/>
    <w:rsid w:val="00EF4BB3"/>
    <w:rsid w:val="00F04350"/>
    <w:rsid w:val="00F10264"/>
    <w:rsid w:val="00F119E9"/>
    <w:rsid w:val="00F13F96"/>
    <w:rsid w:val="00F2119C"/>
    <w:rsid w:val="00F2146A"/>
    <w:rsid w:val="00F218B1"/>
    <w:rsid w:val="00F223B7"/>
    <w:rsid w:val="00F25873"/>
    <w:rsid w:val="00F30F98"/>
    <w:rsid w:val="00F35823"/>
    <w:rsid w:val="00F41475"/>
    <w:rsid w:val="00F53A19"/>
    <w:rsid w:val="00F60818"/>
    <w:rsid w:val="00F6210D"/>
    <w:rsid w:val="00F67F6B"/>
    <w:rsid w:val="00F731FD"/>
    <w:rsid w:val="00F7504C"/>
    <w:rsid w:val="00F75B3A"/>
    <w:rsid w:val="00F83E8B"/>
    <w:rsid w:val="00F85758"/>
    <w:rsid w:val="00FB10AB"/>
    <w:rsid w:val="00FB3757"/>
    <w:rsid w:val="00FC092C"/>
    <w:rsid w:val="00FC0A14"/>
    <w:rsid w:val="00FD6568"/>
    <w:rsid w:val="00FE0E1B"/>
    <w:rsid w:val="00FE34B5"/>
    <w:rsid w:val="00FE44B7"/>
    <w:rsid w:val="00FE5746"/>
    <w:rsid w:val="00FE5EE8"/>
    <w:rsid w:val="00FF183D"/>
    <w:rsid w:val="00FF3A7D"/>
    <w:rsid w:val="00FF546D"/>
    <w:rsid w:val="00FF73B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188FA"/>
  <w15:docId w15:val="{194EAE78-9B73-4C08-8822-547B2C22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F98"/>
    <w:pPr>
      <w:spacing w:after="0" w:line="240" w:lineRule="auto"/>
      <w:jc w:val="both"/>
    </w:pPr>
    <w:rPr>
      <w:rFonts w:ascii="Times New Roman" w:eastAsia="Times New Roman" w:hAnsi="Times New Roman" w:cs="Times New Roman"/>
      <w:color w:val="000000"/>
      <w:sz w:val="24"/>
      <w:szCs w:val="24"/>
      <w:lang w:eastAsia="bs-Latn-BA"/>
    </w:rPr>
  </w:style>
  <w:style w:type="paragraph" w:styleId="Heading1">
    <w:name w:val="heading 1"/>
    <w:basedOn w:val="Normal"/>
    <w:link w:val="Heading1Char"/>
    <w:qFormat/>
    <w:rsid w:val="001538EF"/>
    <w:pPr>
      <w:numPr>
        <w:numId w:val="18"/>
      </w:numPr>
      <w:spacing w:after="360" w:line="0" w:lineRule="atLeast"/>
      <w:ind w:left="431" w:hanging="431"/>
      <w:outlineLvl w:val="0"/>
    </w:pPr>
    <w:rPr>
      <w:rFonts w:ascii="Calibri" w:hAnsi="Calibri"/>
      <w:b/>
      <w:caps/>
      <w:color w:val="auto"/>
      <w:kern w:val="36"/>
      <w:sz w:val="20"/>
      <w:szCs w:val="20"/>
      <w:lang w:val="sr-Cyrl-CS" w:eastAsia="sr-Latn-CS"/>
    </w:rPr>
  </w:style>
  <w:style w:type="paragraph" w:styleId="Heading2">
    <w:name w:val="heading 2"/>
    <w:basedOn w:val="Normal"/>
    <w:link w:val="Heading2Char"/>
    <w:qFormat/>
    <w:rsid w:val="001538EF"/>
    <w:pPr>
      <w:numPr>
        <w:ilvl w:val="1"/>
        <w:numId w:val="18"/>
      </w:numPr>
      <w:spacing w:line="276" w:lineRule="auto"/>
      <w:outlineLvl w:val="1"/>
    </w:pPr>
    <w:rPr>
      <w:rFonts w:ascii="Calibri" w:eastAsiaTheme="minorHAnsi" w:hAnsi="Calibri"/>
      <w:bCs/>
      <w:color w:val="auto"/>
      <w:sz w:val="20"/>
      <w:szCs w:val="17"/>
      <w:lang w:val="sr-Cyrl-CS" w:eastAsia="sr-Latn-CS"/>
    </w:rPr>
  </w:style>
  <w:style w:type="paragraph" w:styleId="Heading3">
    <w:name w:val="heading 3"/>
    <w:basedOn w:val="Normal"/>
    <w:next w:val="Normal"/>
    <w:link w:val="Heading3Char"/>
    <w:uiPriority w:val="9"/>
    <w:semiHidden/>
    <w:unhideWhenUsed/>
    <w:qFormat/>
    <w:rsid w:val="001538EF"/>
    <w:pPr>
      <w:keepNext/>
      <w:keepLines/>
      <w:numPr>
        <w:ilvl w:val="2"/>
        <w:numId w:val="18"/>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1538EF"/>
    <w:pPr>
      <w:keepNext/>
      <w:keepLines/>
      <w:numPr>
        <w:ilvl w:val="3"/>
        <w:numId w:val="18"/>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538EF"/>
    <w:pPr>
      <w:keepNext/>
      <w:keepLines/>
      <w:numPr>
        <w:ilvl w:val="4"/>
        <w:numId w:val="18"/>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538EF"/>
    <w:pPr>
      <w:keepNext/>
      <w:keepLines/>
      <w:numPr>
        <w:ilvl w:val="5"/>
        <w:numId w:val="18"/>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538EF"/>
    <w:pPr>
      <w:keepNext/>
      <w:keepLines/>
      <w:numPr>
        <w:ilvl w:val="6"/>
        <w:numId w:val="18"/>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538EF"/>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538EF"/>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38EF"/>
    <w:rPr>
      <w:rFonts w:ascii="Calibri" w:eastAsia="Times New Roman" w:hAnsi="Calibri" w:cs="Times New Roman"/>
      <w:b/>
      <w:caps/>
      <w:kern w:val="36"/>
      <w:sz w:val="20"/>
      <w:szCs w:val="20"/>
      <w:lang w:val="sr-Cyrl-CS" w:eastAsia="sr-Latn-CS"/>
    </w:rPr>
  </w:style>
  <w:style w:type="character" w:customStyle="1" w:styleId="Heading2Char">
    <w:name w:val="Heading 2 Char"/>
    <w:basedOn w:val="DefaultParagraphFont"/>
    <w:link w:val="Heading2"/>
    <w:rsid w:val="001538EF"/>
    <w:rPr>
      <w:rFonts w:ascii="Calibri" w:hAnsi="Calibri" w:cs="Times New Roman"/>
      <w:bCs/>
      <w:sz w:val="20"/>
      <w:szCs w:val="17"/>
      <w:lang w:val="sr-Cyrl-CS" w:eastAsia="sr-Latn-CS"/>
    </w:rPr>
  </w:style>
  <w:style w:type="character" w:customStyle="1" w:styleId="Heading3Char">
    <w:name w:val="Heading 3 Char"/>
    <w:basedOn w:val="DefaultParagraphFont"/>
    <w:link w:val="Heading3"/>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4Char">
    <w:name w:val="Heading 4 Char"/>
    <w:basedOn w:val="DefaultParagraphFont"/>
    <w:link w:val="Heading4"/>
    <w:uiPriority w:val="9"/>
    <w:semiHidden/>
    <w:rsid w:val="001538EF"/>
    <w:rPr>
      <w:rFonts w:asciiTheme="majorHAnsi" w:eastAsiaTheme="majorEastAsia" w:hAnsiTheme="majorHAnsi" w:cstheme="majorBidi"/>
      <w:i/>
      <w:iCs/>
      <w:color w:val="365F91" w:themeColor="accent1" w:themeShade="BF"/>
      <w:sz w:val="24"/>
      <w:szCs w:val="24"/>
      <w:lang w:eastAsia="bs-Latn-BA"/>
    </w:rPr>
  </w:style>
  <w:style w:type="character" w:customStyle="1" w:styleId="Heading5Char">
    <w:name w:val="Heading 5 Char"/>
    <w:basedOn w:val="DefaultParagraphFont"/>
    <w:link w:val="Heading5"/>
    <w:uiPriority w:val="9"/>
    <w:semiHidden/>
    <w:rsid w:val="001538EF"/>
    <w:rPr>
      <w:rFonts w:asciiTheme="majorHAnsi" w:eastAsiaTheme="majorEastAsia" w:hAnsiTheme="majorHAnsi" w:cstheme="majorBidi"/>
      <w:color w:val="365F91" w:themeColor="accent1" w:themeShade="BF"/>
      <w:sz w:val="24"/>
      <w:szCs w:val="24"/>
      <w:lang w:eastAsia="bs-Latn-BA"/>
    </w:rPr>
  </w:style>
  <w:style w:type="character" w:customStyle="1" w:styleId="Heading6Char">
    <w:name w:val="Heading 6 Char"/>
    <w:basedOn w:val="DefaultParagraphFont"/>
    <w:link w:val="Heading6"/>
    <w:uiPriority w:val="9"/>
    <w:semiHidden/>
    <w:rsid w:val="001538EF"/>
    <w:rPr>
      <w:rFonts w:asciiTheme="majorHAnsi" w:eastAsiaTheme="majorEastAsia" w:hAnsiTheme="majorHAnsi" w:cstheme="majorBidi"/>
      <w:color w:val="243F60" w:themeColor="accent1" w:themeShade="7F"/>
      <w:sz w:val="24"/>
      <w:szCs w:val="24"/>
      <w:lang w:eastAsia="bs-Latn-BA"/>
    </w:rPr>
  </w:style>
  <w:style w:type="character" w:customStyle="1" w:styleId="Heading7Char">
    <w:name w:val="Heading 7 Char"/>
    <w:basedOn w:val="DefaultParagraphFont"/>
    <w:link w:val="Heading7"/>
    <w:uiPriority w:val="9"/>
    <w:semiHidden/>
    <w:rsid w:val="001538EF"/>
    <w:rPr>
      <w:rFonts w:asciiTheme="majorHAnsi" w:eastAsiaTheme="majorEastAsia" w:hAnsiTheme="majorHAnsi" w:cstheme="majorBidi"/>
      <w:i/>
      <w:iCs/>
      <w:color w:val="243F60" w:themeColor="accent1" w:themeShade="7F"/>
      <w:sz w:val="24"/>
      <w:szCs w:val="24"/>
      <w:lang w:eastAsia="bs-Latn-BA"/>
    </w:rPr>
  </w:style>
  <w:style w:type="character" w:customStyle="1" w:styleId="Heading8Char">
    <w:name w:val="Heading 8 Char"/>
    <w:basedOn w:val="DefaultParagraphFont"/>
    <w:link w:val="Heading8"/>
    <w:uiPriority w:val="9"/>
    <w:semiHidden/>
    <w:rsid w:val="001538EF"/>
    <w:rPr>
      <w:rFonts w:asciiTheme="majorHAnsi" w:eastAsiaTheme="majorEastAsia" w:hAnsiTheme="majorHAnsi" w:cstheme="majorBidi"/>
      <w:color w:val="272727" w:themeColor="text1" w:themeTint="D8"/>
      <w:sz w:val="21"/>
      <w:szCs w:val="21"/>
      <w:lang w:eastAsia="bs-Latn-BA"/>
    </w:rPr>
  </w:style>
  <w:style w:type="character" w:customStyle="1" w:styleId="Heading9Char">
    <w:name w:val="Heading 9 Char"/>
    <w:basedOn w:val="DefaultParagraphFont"/>
    <w:link w:val="Heading9"/>
    <w:uiPriority w:val="9"/>
    <w:semiHidden/>
    <w:rsid w:val="001538EF"/>
    <w:rPr>
      <w:rFonts w:asciiTheme="majorHAnsi" w:eastAsiaTheme="majorEastAsia" w:hAnsiTheme="majorHAnsi" w:cstheme="majorBidi"/>
      <w:i/>
      <w:iCs/>
      <w:color w:val="272727" w:themeColor="text1" w:themeTint="D8"/>
      <w:sz w:val="21"/>
      <w:szCs w:val="21"/>
      <w:lang w:eastAsia="bs-Latn-BA"/>
    </w:rPr>
  </w:style>
  <w:style w:type="paragraph" w:styleId="Footer">
    <w:name w:val="footer"/>
    <w:basedOn w:val="Normal"/>
    <w:link w:val="FooterChar"/>
    <w:uiPriority w:val="99"/>
    <w:rsid w:val="001538EF"/>
    <w:pPr>
      <w:tabs>
        <w:tab w:val="center" w:pos="4320"/>
        <w:tab w:val="right" w:pos="8640"/>
      </w:tabs>
    </w:pPr>
  </w:style>
  <w:style w:type="character" w:customStyle="1" w:styleId="FooterChar">
    <w:name w:val="Footer Char"/>
    <w:basedOn w:val="DefaultParagraphFont"/>
    <w:link w:val="Footer"/>
    <w:uiPriority w:val="99"/>
    <w:rsid w:val="001538EF"/>
    <w:rPr>
      <w:rFonts w:ascii="Times New Roman" w:eastAsia="Times New Roman" w:hAnsi="Times New Roman" w:cs="Times New Roman"/>
      <w:color w:val="000000"/>
      <w:sz w:val="24"/>
      <w:szCs w:val="24"/>
      <w:lang w:eastAsia="bs-Latn-BA"/>
    </w:rPr>
  </w:style>
  <w:style w:type="paragraph" w:styleId="Header">
    <w:name w:val="header"/>
    <w:basedOn w:val="Normal"/>
    <w:link w:val="HeaderChar"/>
    <w:uiPriority w:val="99"/>
    <w:rsid w:val="001538EF"/>
    <w:pPr>
      <w:tabs>
        <w:tab w:val="center" w:pos="4320"/>
        <w:tab w:val="right" w:pos="8640"/>
      </w:tabs>
    </w:pPr>
  </w:style>
  <w:style w:type="character" w:customStyle="1" w:styleId="HeaderChar">
    <w:name w:val="Header Char"/>
    <w:basedOn w:val="DefaultParagraphFont"/>
    <w:link w:val="Header"/>
    <w:uiPriority w:val="99"/>
    <w:rsid w:val="001538EF"/>
    <w:rPr>
      <w:rFonts w:ascii="Times New Roman" w:eastAsia="Times New Roman" w:hAnsi="Times New Roman" w:cs="Times New Roman"/>
      <w:color w:val="000000"/>
      <w:sz w:val="24"/>
      <w:szCs w:val="24"/>
      <w:lang w:eastAsia="bs-Latn-BA"/>
    </w:rPr>
  </w:style>
  <w:style w:type="paragraph" w:styleId="ListParagraph">
    <w:name w:val="List Paragraph"/>
    <w:basedOn w:val="Normal"/>
    <w:uiPriority w:val="34"/>
    <w:qFormat/>
    <w:rsid w:val="001538EF"/>
    <w:pPr>
      <w:ind w:left="720"/>
      <w:contextualSpacing/>
    </w:pPr>
  </w:style>
  <w:style w:type="table" w:styleId="TableGrid">
    <w:name w:val="Table Grid"/>
    <w:basedOn w:val="TableNormal"/>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1538EF"/>
    <w:rPr>
      <w:rFonts w:ascii="Tahoma" w:hAnsi="Tahoma" w:cs="Tahoma"/>
      <w:sz w:val="16"/>
      <w:szCs w:val="16"/>
    </w:rPr>
  </w:style>
  <w:style w:type="character" w:customStyle="1" w:styleId="BalloonTextChar">
    <w:name w:val="Balloon Text Char"/>
    <w:basedOn w:val="DefaultParagraphFont"/>
    <w:link w:val="BalloonText"/>
    <w:semiHidden/>
    <w:rsid w:val="001538EF"/>
    <w:rPr>
      <w:rFonts w:ascii="Tahoma" w:eastAsia="Times New Roman" w:hAnsi="Tahoma" w:cs="Tahoma"/>
      <w:color w:val="000000"/>
      <w:sz w:val="16"/>
      <w:szCs w:val="16"/>
      <w:lang w:eastAsia="bs-Latn-BA"/>
    </w:rPr>
  </w:style>
  <w:style w:type="character" w:styleId="CommentReference">
    <w:name w:val="annotation reference"/>
    <w:semiHidden/>
    <w:rsid w:val="001538EF"/>
    <w:rPr>
      <w:sz w:val="16"/>
      <w:szCs w:val="16"/>
    </w:rPr>
  </w:style>
  <w:style w:type="paragraph" w:styleId="CommentText">
    <w:name w:val="annotation text"/>
    <w:basedOn w:val="Normal"/>
    <w:link w:val="CommentTextChar"/>
    <w:semiHidden/>
    <w:rsid w:val="001538EF"/>
    <w:rPr>
      <w:sz w:val="20"/>
      <w:szCs w:val="20"/>
    </w:rPr>
  </w:style>
  <w:style w:type="character" w:customStyle="1" w:styleId="CommentTextChar">
    <w:name w:val="Comment Text Char"/>
    <w:basedOn w:val="DefaultParagraphFont"/>
    <w:link w:val="CommentText"/>
    <w:semiHidden/>
    <w:rsid w:val="001538EF"/>
    <w:rPr>
      <w:rFonts w:ascii="Times New Roman" w:eastAsia="Times New Roman" w:hAnsi="Times New Roman" w:cs="Times New Roman"/>
      <w:color w:val="000000"/>
      <w:sz w:val="20"/>
      <w:szCs w:val="20"/>
      <w:lang w:eastAsia="bs-Latn-BA"/>
    </w:rPr>
  </w:style>
  <w:style w:type="paragraph" w:styleId="CommentSubject">
    <w:name w:val="annotation subject"/>
    <w:basedOn w:val="CommentText"/>
    <w:next w:val="CommentText"/>
    <w:link w:val="CommentSubjectChar"/>
    <w:semiHidden/>
    <w:rsid w:val="001538EF"/>
    <w:rPr>
      <w:b/>
      <w:bCs/>
    </w:rPr>
  </w:style>
  <w:style w:type="character" w:customStyle="1" w:styleId="CommentSubjectChar">
    <w:name w:val="Comment Subject Char"/>
    <w:basedOn w:val="CommentTextChar"/>
    <w:link w:val="CommentSubject"/>
    <w:semiHidden/>
    <w:rsid w:val="001538EF"/>
    <w:rPr>
      <w:rFonts w:ascii="Times New Roman" w:eastAsia="Times New Roman" w:hAnsi="Times New Roman" w:cs="Times New Roman"/>
      <w:b/>
      <w:bCs/>
      <w:color w:val="000000"/>
      <w:sz w:val="20"/>
      <w:szCs w:val="20"/>
      <w:lang w:eastAsia="bs-Latn-BA"/>
    </w:rPr>
  </w:style>
  <w:style w:type="character" w:styleId="FootnoteReference">
    <w:name w:val="footnote reference"/>
    <w:semiHidden/>
    <w:rsid w:val="001538EF"/>
    <w:rPr>
      <w:vertAlign w:val="superscript"/>
    </w:rPr>
  </w:style>
  <w:style w:type="paragraph" w:styleId="FootnoteText">
    <w:name w:val="footnote text"/>
    <w:basedOn w:val="Normal"/>
    <w:link w:val="FootnoteTextChar"/>
    <w:semiHidden/>
    <w:rsid w:val="001538EF"/>
    <w:rPr>
      <w:sz w:val="20"/>
      <w:szCs w:val="20"/>
    </w:rPr>
  </w:style>
  <w:style w:type="character" w:customStyle="1" w:styleId="FootnoteTextChar">
    <w:name w:val="Footnote Text Char"/>
    <w:basedOn w:val="DefaultParagraphFont"/>
    <w:link w:val="FootnoteText"/>
    <w:semiHidden/>
    <w:rsid w:val="001538EF"/>
    <w:rPr>
      <w:rFonts w:ascii="Times New Roman" w:eastAsia="Times New Roman" w:hAnsi="Times New Roman" w:cs="Times New Roman"/>
      <w:color w:val="000000"/>
      <w:sz w:val="20"/>
      <w:szCs w:val="20"/>
      <w:lang w:eastAsia="bs-Latn-BA"/>
    </w:rPr>
  </w:style>
  <w:style w:type="character" w:styleId="Hyperlink">
    <w:name w:val="Hyperlink"/>
    <w:uiPriority w:val="99"/>
    <w:rsid w:val="001538EF"/>
    <w:rPr>
      <w:color w:val="0000FF"/>
      <w:u w:val="single"/>
    </w:rPr>
  </w:style>
  <w:style w:type="paragraph" w:styleId="NormalWeb">
    <w:name w:val="Normal (Web)"/>
    <w:basedOn w:val="Normal"/>
    <w:rsid w:val="001538EF"/>
    <w:pPr>
      <w:spacing w:after="225"/>
    </w:pPr>
  </w:style>
  <w:style w:type="paragraph" w:customStyle="1" w:styleId="Stav">
    <w:name w:val="Stav"/>
    <w:basedOn w:val="Normal"/>
    <w:qFormat/>
    <w:rsid w:val="001538EF"/>
    <w:pPr>
      <w:spacing w:after="120"/>
    </w:pPr>
    <w:rPr>
      <w:lang w:val="sr-Cyrl-CS"/>
    </w:rPr>
  </w:style>
  <w:style w:type="paragraph" w:customStyle="1" w:styleId="Num-Stav">
    <w:name w:val="Num-Stav"/>
    <w:basedOn w:val="Stav"/>
    <w:qFormat/>
    <w:rsid w:val="001538EF"/>
    <w:pPr>
      <w:numPr>
        <w:numId w:val="1"/>
      </w:numPr>
    </w:pPr>
  </w:style>
  <w:style w:type="character" w:styleId="PageNumber">
    <w:name w:val="page number"/>
    <w:basedOn w:val="DefaultParagraphFont"/>
    <w:rsid w:val="001538EF"/>
  </w:style>
  <w:style w:type="table" w:styleId="TableGrid20">
    <w:name w:val="Table Grid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List3">
    <w:name w:val="Table List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Web2">
    <w:name w:val="Table Web 2"/>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qFormat/>
    <w:rsid w:val="005D0BE8"/>
    <w:pPr>
      <w:tabs>
        <w:tab w:val="left" w:pos="284"/>
        <w:tab w:val="right" w:leader="dot" w:pos="8635"/>
      </w:tabs>
      <w:spacing w:before="240" w:line="360" w:lineRule="auto"/>
    </w:pPr>
    <w:rPr>
      <w:rFonts w:asciiTheme="minorHAnsi" w:hAnsiTheme="minorHAnsi"/>
      <w:b/>
      <w:sz w:val="20"/>
    </w:rPr>
  </w:style>
  <w:style w:type="paragraph" w:styleId="TOC2">
    <w:name w:val="toc 2"/>
    <w:basedOn w:val="Normal"/>
    <w:next w:val="Normal"/>
    <w:autoRedefine/>
    <w:uiPriority w:val="39"/>
    <w:qFormat/>
    <w:rsid w:val="00BC5934"/>
    <w:pPr>
      <w:tabs>
        <w:tab w:val="left" w:pos="284"/>
        <w:tab w:val="right" w:leader="dot" w:pos="8647"/>
      </w:tabs>
      <w:spacing w:line="320" w:lineRule="exact"/>
      <w:ind w:left="426" w:right="140" w:hanging="426"/>
    </w:pPr>
    <w:rPr>
      <w:rFonts w:asciiTheme="minorHAnsi" w:hAnsiTheme="minorHAnsi"/>
      <w:sz w:val="20"/>
    </w:rPr>
  </w:style>
  <w:style w:type="paragraph" w:customStyle="1" w:styleId="Default">
    <w:name w:val="Default"/>
    <w:rsid w:val="001538EF"/>
    <w:pPr>
      <w:autoSpaceDE w:val="0"/>
      <w:autoSpaceDN w:val="0"/>
      <w:adjustRightInd w:val="0"/>
      <w:spacing w:after="0" w:line="240" w:lineRule="auto"/>
    </w:pPr>
    <w:rPr>
      <w:rFonts w:ascii="DMPEGO+Arial" w:hAnsi="DMPEGO+Arial" w:cs="DMPEGO+Arial"/>
      <w:color w:val="000000"/>
      <w:sz w:val="24"/>
      <w:szCs w:val="24"/>
    </w:rPr>
  </w:style>
  <w:style w:type="paragraph" w:customStyle="1" w:styleId="Glava">
    <w:name w:val="Glava"/>
    <w:basedOn w:val="Normal"/>
    <w:qFormat/>
    <w:rsid w:val="001538EF"/>
    <w:pPr>
      <w:keepNext/>
      <w:numPr>
        <w:numId w:val="2"/>
      </w:numPr>
      <w:spacing w:before="360" w:after="240"/>
    </w:pPr>
    <w:rPr>
      <w:b/>
      <w:caps/>
      <w:noProof/>
      <w:lang w:val="sr-Cyrl-RS"/>
    </w:rPr>
  </w:style>
  <w:style w:type="numbering" w:customStyle="1" w:styleId="Numerisanje">
    <w:name w:val="Numerisanje"/>
    <w:basedOn w:val="NoList"/>
    <w:uiPriority w:val="99"/>
    <w:rsid w:val="001538EF"/>
    <w:pPr>
      <w:numPr>
        <w:numId w:val="4"/>
      </w:numPr>
    </w:pPr>
  </w:style>
  <w:style w:type="paragraph" w:customStyle="1" w:styleId="lan">
    <w:name w:val="Član"/>
    <w:basedOn w:val="Normal"/>
    <w:qFormat/>
    <w:rsid w:val="001538EF"/>
    <w:pPr>
      <w:keepNext/>
      <w:numPr>
        <w:numId w:val="5"/>
      </w:numPr>
      <w:spacing w:before="360" w:after="240"/>
      <w:ind w:left="0" w:firstLine="0"/>
      <w:jc w:val="center"/>
    </w:pPr>
    <w:rPr>
      <w:b/>
      <w:noProof/>
    </w:rPr>
  </w:style>
  <w:style w:type="paragraph" w:customStyle="1" w:styleId="Oznacavanje">
    <w:name w:val="Oznacavanje"/>
    <w:basedOn w:val="Normal"/>
    <w:qFormat/>
    <w:rsid w:val="001538EF"/>
    <w:pPr>
      <w:numPr>
        <w:numId w:val="3"/>
      </w:numPr>
      <w:ind w:left="851" w:hanging="284"/>
    </w:pPr>
    <w:rPr>
      <w:noProof/>
      <w:lang w:val="sr-Cyrl-RS"/>
    </w:rPr>
  </w:style>
  <w:style w:type="table" w:customStyle="1" w:styleId="TableGrid1">
    <w:name w:val="Table Grid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538EF"/>
    <w:pPr>
      <w:keepNext/>
      <w:keepLines/>
      <w:spacing w:before="480" w:after="0" w:line="276" w:lineRule="auto"/>
      <w:jc w:val="left"/>
      <w:outlineLvl w:val="9"/>
    </w:pPr>
    <w:rPr>
      <w:rFonts w:asciiTheme="majorHAnsi" w:eastAsiaTheme="majorEastAsia" w:hAnsiTheme="majorHAnsi" w:cstheme="majorBidi"/>
      <w:b w:val="0"/>
      <w:bCs/>
      <w:caps w:val="0"/>
      <w:color w:val="365F91" w:themeColor="accent1" w:themeShade="BF"/>
      <w:kern w:val="0"/>
      <w:sz w:val="28"/>
      <w:szCs w:val="28"/>
      <w:lang w:val="en-US" w:eastAsia="ja-JP"/>
    </w:rPr>
  </w:style>
  <w:style w:type="numbering" w:customStyle="1" w:styleId="NoList1">
    <w:name w:val="No List1"/>
    <w:next w:val="NoList"/>
    <w:uiPriority w:val="99"/>
    <w:semiHidden/>
    <w:unhideWhenUsed/>
    <w:rsid w:val="001538EF"/>
  </w:style>
  <w:style w:type="table" w:customStyle="1" w:styleId="TableGrid3">
    <w:name w:val="Table Grid3"/>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 21"/>
    <w:basedOn w:val="TableNormal"/>
    <w:next w:val="TableGrid20"/>
    <w:rsid w:val="001538EF"/>
    <w:pPr>
      <w:spacing w:after="0" w:line="240" w:lineRule="auto"/>
    </w:pPr>
    <w:rPr>
      <w:rFonts w:ascii="Times New Roman" w:eastAsia="Times New Roman" w:hAnsi="Times New Roman" w:cs="Times New Roman"/>
      <w:color w:val="000000"/>
      <w:sz w:val="24"/>
      <w:szCs w:val="24"/>
      <w:lang w:eastAsia="bs-Latn-B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Web21">
    <w:name w:val="Table Web 21"/>
    <w:basedOn w:val="TableNormal"/>
    <w:next w:val="TableWeb2"/>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1538EF"/>
    <w:pPr>
      <w:spacing w:after="0" w:line="240" w:lineRule="auto"/>
    </w:pPr>
    <w:rPr>
      <w:rFonts w:ascii="Times New Roman" w:eastAsia="Times New Roman" w:hAnsi="Times New Roman" w:cs="Times New Roman"/>
      <w:color w:val="000000"/>
      <w:sz w:val="24"/>
      <w:szCs w:val="24"/>
      <w:lang w:eastAsia="bs-Latn-B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153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538EF"/>
    <w:rPr>
      <w:color w:val="800080"/>
      <w:u w:val="single"/>
    </w:rPr>
  </w:style>
  <w:style w:type="paragraph" w:customStyle="1" w:styleId="xl66">
    <w:name w:val="xl6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7">
    <w:name w:val="xl6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68">
    <w:name w:val="xl68"/>
    <w:basedOn w:val="Normal"/>
    <w:rsid w:val="001538EF"/>
    <w:pPr>
      <w:pBdr>
        <w:top w:val="single" w:sz="8" w:space="0" w:color="auto"/>
        <w:left w:val="single" w:sz="8"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69">
    <w:name w:val="xl69"/>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0">
    <w:name w:val="xl70"/>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left"/>
    </w:pPr>
    <w:rPr>
      <w:b/>
      <w:bCs/>
      <w:color w:val="auto"/>
    </w:rPr>
  </w:style>
  <w:style w:type="paragraph" w:customStyle="1" w:styleId="xl71">
    <w:name w:val="xl71"/>
    <w:basedOn w:val="Normal"/>
    <w:rsid w:val="001538EF"/>
    <w:pPr>
      <w:pBdr>
        <w:top w:val="single" w:sz="8" w:space="0" w:color="auto"/>
        <w:left w:val="single" w:sz="4" w:space="0" w:color="auto"/>
        <w:bottom w:val="single" w:sz="8" w:space="0" w:color="auto"/>
        <w:right w:val="single" w:sz="8" w:space="0" w:color="auto"/>
      </w:pBdr>
      <w:spacing w:before="100" w:beforeAutospacing="1" w:after="100" w:afterAutospacing="1"/>
      <w:jc w:val="left"/>
    </w:pPr>
    <w:rPr>
      <w:b/>
      <w:bCs/>
      <w:color w:val="auto"/>
    </w:rPr>
  </w:style>
  <w:style w:type="paragraph" w:customStyle="1" w:styleId="xl72">
    <w:name w:val="xl72"/>
    <w:basedOn w:val="Normal"/>
    <w:rsid w:val="001538E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color w:val="auto"/>
    </w:rPr>
  </w:style>
  <w:style w:type="paragraph" w:customStyle="1" w:styleId="xl73">
    <w:name w:val="xl7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4">
    <w:name w:val="xl7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5">
    <w:name w:val="xl7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6">
    <w:name w:val="xl7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7">
    <w:name w:val="xl77"/>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78">
    <w:name w:val="xl78"/>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79">
    <w:name w:val="xl79"/>
    <w:basedOn w:val="Normal"/>
    <w:rsid w:val="001538EF"/>
    <w:pPr>
      <w:pBdr>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xl80">
    <w:name w:val="xl80"/>
    <w:basedOn w:val="Normal"/>
    <w:rsid w:val="001538EF"/>
    <w:pPr>
      <w:pBdr>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1">
    <w:name w:val="xl8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2">
    <w:name w:val="xl8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auto"/>
    </w:rPr>
  </w:style>
  <w:style w:type="paragraph" w:customStyle="1" w:styleId="xl83">
    <w:name w:val="xl8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auto"/>
    </w:rPr>
  </w:style>
  <w:style w:type="paragraph" w:customStyle="1" w:styleId="xl84">
    <w:name w:val="xl8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color w:val="auto"/>
    </w:rPr>
  </w:style>
  <w:style w:type="paragraph" w:customStyle="1" w:styleId="font5">
    <w:name w:val="font5"/>
    <w:basedOn w:val="Normal"/>
    <w:rsid w:val="001538EF"/>
    <w:pPr>
      <w:spacing w:before="100" w:beforeAutospacing="1" w:after="100" w:afterAutospacing="1"/>
      <w:jc w:val="left"/>
    </w:pPr>
    <w:rPr>
      <w:rFonts w:ascii="Calibri" w:hAnsi="Calibri"/>
      <w:b/>
      <w:bCs/>
      <w:lang w:val="en-US" w:eastAsia="en-US"/>
    </w:rPr>
  </w:style>
  <w:style w:type="paragraph" w:customStyle="1" w:styleId="xl65">
    <w:name w:val="xl65"/>
    <w:basedOn w:val="Normal"/>
    <w:rsid w:val="001538EF"/>
    <w:pPr>
      <w:spacing w:before="100" w:beforeAutospacing="1" w:after="100" w:afterAutospacing="1"/>
      <w:jc w:val="left"/>
    </w:pPr>
    <w:rPr>
      <w:rFonts w:ascii="Calibri" w:hAnsi="Calibri"/>
      <w:color w:val="auto"/>
      <w:lang w:val="en-US" w:eastAsia="en-US"/>
    </w:rPr>
  </w:style>
  <w:style w:type="paragraph" w:customStyle="1" w:styleId="xl85">
    <w:name w:val="xl8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i/>
      <w:iCs/>
      <w:lang w:val="en-US" w:eastAsia="en-US"/>
    </w:rPr>
  </w:style>
  <w:style w:type="paragraph" w:customStyle="1" w:styleId="xl86">
    <w:name w:val="xl8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i/>
      <w:iCs/>
      <w:lang w:val="en-US" w:eastAsia="en-US"/>
    </w:rPr>
  </w:style>
  <w:style w:type="paragraph" w:customStyle="1" w:styleId="xl87">
    <w:name w:val="xl87"/>
    <w:basedOn w:val="Normal"/>
    <w:rsid w:val="001538EF"/>
    <w:pPr>
      <w:spacing w:before="100" w:beforeAutospacing="1" w:after="100" w:afterAutospacing="1"/>
      <w:jc w:val="left"/>
    </w:pPr>
    <w:rPr>
      <w:rFonts w:ascii="Calibri" w:hAnsi="Calibri"/>
      <w:i/>
      <w:iCs/>
      <w:color w:val="auto"/>
      <w:lang w:val="en-US" w:eastAsia="en-US"/>
    </w:rPr>
  </w:style>
  <w:style w:type="paragraph" w:customStyle="1" w:styleId="xl88">
    <w:name w:val="xl8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color w:val="auto"/>
      <w:lang w:val="en-US" w:eastAsia="en-US"/>
    </w:rPr>
  </w:style>
  <w:style w:type="paragraph" w:customStyle="1" w:styleId="xl89">
    <w:name w:val="xl89"/>
    <w:basedOn w:val="Normal"/>
    <w:rsid w:val="001538EF"/>
    <w:pPr>
      <w:spacing w:before="100" w:beforeAutospacing="1" w:after="100" w:afterAutospacing="1"/>
      <w:jc w:val="left"/>
    </w:pPr>
    <w:rPr>
      <w:rFonts w:ascii="Calibri" w:hAnsi="Calibri"/>
      <w:b/>
      <w:bCs/>
      <w:i/>
      <w:iCs/>
      <w:color w:val="auto"/>
      <w:lang w:val="en-US" w:eastAsia="en-US"/>
    </w:rPr>
  </w:style>
  <w:style w:type="paragraph" w:customStyle="1" w:styleId="xl90">
    <w:name w:val="xl9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lang w:val="en-US" w:eastAsia="en-US"/>
    </w:rPr>
  </w:style>
  <w:style w:type="paragraph" w:customStyle="1" w:styleId="xl91">
    <w:name w:val="xl91"/>
    <w:basedOn w:val="Normal"/>
    <w:rsid w:val="001538EF"/>
    <w:pPr>
      <w:spacing w:before="100" w:beforeAutospacing="1" w:after="100" w:afterAutospacing="1"/>
      <w:jc w:val="left"/>
    </w:pPr>
    <w:rPr>
      <w:rFonts w:ascii="Calibri" w:hAnsi="Calibri"/>
      <w:color w:val="auto"/>
      <w:lang w:val="en-US" w:eastAsia="en-US"/>
    </w:rPr>
  </w:style>
  <w:style w:type="paragraph" w:customStyle="1" w:styleId="xl92">
    <w:name w:val="xl9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i/>
      <w:iCs/>
      <w:lang w:val="en-US" w:eastAsia="en-US"/>
    </w:rPr>
  </w:style>
  <w:style w:type="paragraph" w:customStyle="1" w:styleId="xl93">
    <w:name w:val="xl9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lang w:val="en-US" w:eastAsia="en-US"/>
    </w:rPr>
  </w:style>
  <w:style w:type="paragraph" w:customStyle="1" w:styleId="xl94">
    <w:name w:val="xl9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i/>
      <w:iCs/>
      <w:lang w:val="en-US" w:eastAsia="en-US"/>
    </w:rPr>
  </w:style>
  <w:style w:type="paragraph" w:customStyle="1" w:styleId="xl95">
    <w:name w:val="xl95"/>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i/>
      <w:iCs/>
      <w:lang w:val="en-US" w:eastAsia="en-US"/>
    </w:rPr>
  </w:style>
  <w:style w:type="paragraph" w:customStyle="1" w:styleId="xl96">
    <w:name w:val="xl96"/>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7">
    <w:name w:val="xl97"/>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i/>
      <w:iCs/>
      <w:color w:val="auto"/>
      <w:lang w:val="en-US" w:eastAsia="en-US"/>
    </w:rPr>
  </w:style>
  <w:style w:type="paragraph" w:customStyle="1" w:styleId="xl98">
    <w:name w:val="xl9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sz w:val="28"/>
      <w:szCs w:val="28"/>
      <w:lang w:val="en-US" w:eastAsia="en-US"/>
    </w:rPr>
  </w:style>
  <w:style w:type="paragraph" w:customStyle="1" w:styleId="xl99">
    <w:name w:val="xl99"/>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color w:val="auto"/>
      <w:sz w:val="28"/>
      <w:szCs w:val="28"/>
      <w:lang w:val="en-US" w:eastAsia="en-US"/>
    </w:rPr>
  </w:style>
  <w:style w:type="paragraph" w:customStyle="1" w:styleId="xl100">
    <w:name w:val="xl100"/>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b/>
      <w:bCs/>
      <w:sz w:val="28"/>
      <w:szCs w:val="28"/>
      <w:lang w:val="en-US" w:eastAsia="en-US"/>
    </w:rPr>
  </w:style>
  <w:style w:type="paragraph" w:customStyle="1" w:styleId="xl101">
    <w:name w:val="xl101"/>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paragraph" w:customStyle="1" w:styleId="xl102">
    <w:name w:val="xl102"/>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sz w:val="28"/>
      <w:szCs w:val="28"/>
      <w:lang w:val="en-US" w:eastAsia="en-US"/>
    </w:rPr>
  </w:style>
  <w:style w:type="paragraph" w:customStyle="1" w:styleId="xl103">
    <w:name w:val="xl103"/>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Calibri" w:hAnsi="Calibri"/>
      <w:b/>
      <w:bCs/>
      <w:color w:val="auto"/>
      <w:sz w:val="28"/>
      <w:szCs w:val="28"/>
      <w:lang w:val="en-US" w:eastAsia="en-US"/>
    </w:rPr>
  </w:style>
  <w:style w:type="table" w:customStyle="1" w:styleId="TableGrid4">
    <w:name w:val="Table Grid4"/>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4">
    <w:name w:val="xl104"/>
    <w:basedOn w:val="Normal"/>
    <w:rsid w:val="001538EF"/>
    <w:pPr>
      <w:pBdr>
        <w:bottom w:val="single" w:sz="8" w:space="0" w:color="auto"/>
        <w:right w:val="single" w:sz="8" w:space="0" w:color="auto"/>
      </w:pBdr>
      <w:spacing w:before="100" w:beforeAutospacing="1" w:after="100" w:afterAutospacing="1"/>
      <w:jc w:val="right"/>
      <w:textAlignment w:val="center"/>
    </w:pPr>
  </w:style>
  <w:style w:type="paragraph" w:customStyle="1" w:styleId="xl105">
    <w:name w:val="xl105"/>
    <w:basedOn w:val="Normal"/>
    <w:rsid w:val="001538EF"/>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center"/>
    </w:pPr>
    <w:rPr>
      <w:b/>
      <w:bCs/>
      <w:i/>
      <w:iCs/>
    </w:rPr>
  </w:style>
  <w:style w:type="paragraph" w:customStyle="1" w:styleId="xl106">
    <w:name w:val="xl106"/>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107">
    <w:name w:val="xl107"/>
    <w:basedOn w:val="Normal"/>
    <w:rsid w:val="001538EF"/>
    <w:pPr>
      <w:pBdr>
        <w:bottom w:val="single" w:sz="8" w:space="0" w:color="auto"/>
        <w:right w:val="single" w:sz="8" w:space="0" w:color="auto"/>
      </w:pBdr>
      <w:spacing w:before="100" w:beforeAutospacing="1" w:after="100" w:afterAutospacing="1"/>
      <w:textAlignment w:val="top"/>
    </w:pPr>
  </w:style>
  <w:style w:type="paragraph" w:customStyle="1" w:styleId="xl108">
    <w:name w:val="xl108"/>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auto"/>
    </w:rPr>
  </w:style>
  <w:style w:type="paragraph" w:customStyle="1" w:styleId="xl109">
    <w:name w:val="xl109"/>
    <w:basedOn w:val="Normal"/>
    <w:rsid w:val="001538EF"/>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110">
    <w:name w:val="xl110"/>
    <w:basedOn w:val="Normal"/>
    <w:rsid w:val="001538EF"/>
    <w:pPr>
      <w:spacing w:before="100" w:beforeAutospacing="1" w:after="100" w:afterAutospacing="1"/>
      <w:jc w:val="right"/>
    </w:pPr>
    <w:rPr>
      <w:color w:val="auto"/>
    </w:rPr>
  </w:style>
  <w:style w:type="paragraph" w:customStyle="1" w:styleId="xl111">
    <w:name w:val="xl111"/>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2">
    <w:name w:val="xl112"/>
    <w:basedOn w:val="Normal"/>
    <w:rsid w:val="001538EF"/>
    <w:pPr>
      <w:pBdr>
        <w:bottom w:val="single" w:sz="8" w:space="0" w:color="auto"/>
        <w:right w:val="single" w:sz="8" w:space="0" w:color="auto"/>
      </w:pBdr>
      <w:spacing w:before="100" w:beforeAutospacing="1" w:after="100" w:afterAutospacing="1"/>
      <w:jc w:val="center"/>
      <w:textAlignment w:val="center"/>
    </w:pPr>
    <w:rPr>
      <w:b/>
      <w:bCs/>
    </w:rPr>
  </w:style>
  <w:style w:type="paragraph" w:customStyle="1" w:styleId="xl113">
    <w:name w:val="xl113"/>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14">
    <w:name w:val="xl114"/>
    <w:basedOn w:val="Normal"/>
    <w:rsid w:val="001538EF"/>
    <w:pPr>
      <w:pBdr>
        <w:bottom w:val="single" w:sz="8" w:space="0" w:color="auto"/>
        <w:right w:val="single" w:sz="8" w:space="0" w:color="auto"/>
      </w:pBdr>
      <w:spacing w:before="100" w:beforeAutospacing="1" w:after="100" w:afterAutospacing="1"/>
      <w:textAlignment w:val="center"/>
    </w:pPr>
    <w:rPr>
      <w:color w:val="auto"/>
      <w:sz w:val="18"/>
      <w:szCs w:val="18"/>
    </w:rPr>
  </w:style>
  <w:style w:type="paragraph" w:customStyle="1" w:styleId="xl115">
    <w:name w:val="xl115"/>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i/>
      <w:iCs/>
      <w:color w:val="auto"/>
      <w:sz w:val="18"/>
      <w:szCs w:val="18"/>
    </w:rPr>
  </w:style>
  <w:style w:type="paragraph" w:customStyle="1" w:styleId="xl116">
    <w:name w:val="xl11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7">
    <w:name w:val="xl11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18">
    <w:name w:val="xl118"/>
    <w:basedOn w:val="Normal"/>
    <w:rsid w:val="001538EF"/>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19">
    <w:name w:val="xl119"/>
    <w:basedOn w:val="Normal"/>
    <w:rsid w:val="001538EF"/>
    <w:pPr>
      <w:pBdr>
        <w:bottom w:val="single" w:sz="8" w:space="0" w:color="auto"/>
        <w:right w:val="single" w:sz="8" w:space="0" w:color="auto"/>
      </w:pBdr>
      <w:spacing w:before="100" w:beforeAutospacing="1" w:after="100" w:afterAutospacing="1"/>
      <w:jc w:val="right"/>
      <w:textAlignment w:val="center"/>
    </w:pPr>
    <w:rPr>
      <w:color w:val="auto"/>
      <w:sz w:val="18"/>
      <w:szCs w:val="18"/>
    </w:rPr>
  </w:style>
  <w:style w:type="paragraph" w:customStyle="1" w:styleId="xl120">
    <w:name w:val="xl120"/>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1">
    <w:name w:val="xl121"/>
    <w:basedOn w:val="Normal"/>
    <w:rsid w:val="001538EF"/>
    <w:pPr>
      <w:pBdr>
        <w:bottom w:val="single" w:sz="8" w:space="0" w:color="auto"/>
        <w:right w:val="single" w:sz="8" w:space="0" w:color="auto"/>
      </w:pBdr>
      <w:spacing w:before="100" w:beforeAutospacing="1" w:after="100" w:afterAutospacing="1"/>
      <w:jc w:val="right"/>
      <w:textAlignment w:val="center"/>
    </w:pPr>
    <w:rPr>
      <w:i/>
      <w:iCs/>
      <w:color w:val="auto"/>
      <w:sz w:val="18"/>
      <w:szCs w:val="18"/>
    </w:rPr>
  </w:style>
  <w:style w:type="paragraph" w:customStyle="1" w:styleId="xl122">
    <w:name w:val="xl122"/>
    <w:basedOn w:val="Normal"/>
    <w:rsid w:val="001538EF"/>
    <w:pPr>
      <w:pBdr>
        <w:bottom w:val="single" w:sz="8" w:space="0" w:color="auto"/>
        <w:right w:val="single" w:sz="8" w:space="0" w:color="auto"/>
      </w:pBdr>
      <w:spacing w:before="100" w:beforeAutospacing="1" w:after="100" w:afterAutospacing="1"/>
      <w:jc w:val="right"/>
      <w:textAlignment w:val="center"/>
    </w:pPr>
    <w:rPr>
      <w:b/>
      <w:bCs/>
      <w:i/>
      <w:iCs/>
      <w:sz w:val="18"/>
      <w:szCs w:val="18"/>
    </w:rPr>
  </w:style>
  <w:style w:type="paragraph" w:customStyle="1" w:styleId="xl123">
    <w:name w:val="xl123"/>
    <w:basedOn w:val="Normal"/>
    <w:rsid w:val="001538EF"/>
    <w:pPr>
      <w:pBdr>
        <w:bottom w:val="single" w:sz="8" w:space="0" w:color="auto"/>
        <w:right w:val="single" w:sz="8" w:space="0" w:color="auto"/>
      </w:pBdr>
      <w:spacing w:before="100" w:beforeAutospacing="1" w:after="100" w:afterAutospacing="1"/>
      <w:textAlignment w:val="center"/>
    </w:pPr>
    <w:rPr>
      <w:b/>
      <w:bCs/>
      <w:i/>
      <w:iCs/>
      <w:sz w:val="18"/>
      <w:szCs w:val="18"/>
    </w:rPr>
  </w:style>
  <w:style w:type="paragraph" w:customStyle="1" w:styleId="xl124">
    <w:name w:val="xl124"/>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5">
    <w:name w:val="xl125"/>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paragraph" w:customStyle="1" w:styleId="xl126">
    <w:name w:val="xl126"/>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7">
    <w:name w:val="xl127"/>
    <w:basedOn w:val="Normal"/>
    <w:rsid w:val="001538EF"/>
    <w:pPr>
      <w:pBdr>
        <w:bottom w:val="single" w:sz="8" w:space="0" w:color="auto"/>
        <w:right w:val="single" w:sz="8" w:space="0" w:color="auto"/>
      </w:pBdr>
      <w:spacing w:before="100" w:beforeAutospacing="1" w:after="100" w:afterAutospacing="1"/>
      <w:jc w:val="right"/>
      <w:textAlignment w:val="center"/>
    </w:pPr>
    <w:rPr>
      <w:b/>
      <w:bCs/>
      <w:i/>
      <w:iCs/>
      <w:color w:val="auto"/>
      <w:sz w:val="18"/>
      <w:szCs w:val="18"/>
    </w:rPr>
  </w:style>
  <w:style w:type="paragraph" w:customStyle="1" w:styleId="xl128">
    <w:name w:val="xl128"/>
    <w:basedOn w:val="Normal"/>
    <w:rsid w:val="001538EF"/>
    <w:pPr>
      <w:pBdr>
        <w:bottom w:val="single" w:sz="8" w:space="0" w:color="auto"/>
        <w:right w:val="single" w:sz="8" w:space="0" w:color="auto"/>
      </w:pBdr>
      <w:spacing w:before="100" w:beforeAutospacing="1" w:after="100" w:afterAutospacing="1"/>
      <w:jc w:val="left"/>
      <w:textAlignment w:val="center"/>
    </w:pPr>
    <w:rPr>
      <w:b/>
      <w:bCs/>
      <w:i/>
      <w:iCs/>
      <w:sz w:val="18"/>
      <w:szCs w:val="18"/>
    </w:rPr>
  </w:style>
  <w:style w:type="character" w:customStyle="1" w:styleId="tekst1">
    <w:name w:val="tekst1"/>
    <w:rsid w:val="001538EF"/>
    <w:rPr>
      <w:rFonts w:ascii="Arial" w:hAnsi="Arial" w:cs="Arial" w:hint="default"/>
      <w:color w:val="000000"/>
      <w:sz w:val="18"/>
      <w:szCs w:val="18"/>
    </w:rPr>
  </w:style>
  <w:style w:type="paragraph" w:styleId="NoSpacing">
    <w:name w:val="No Spacing"/>
    <w:uiPriority w:val="1"/>
    <w:qFormat/>
    <w:rsid w:val="001538EF"/>
    <w:pPr>
      <w:spacing w:after="0" w:line="240" w:lineRule="auto"/>
      <w:jc w:val="both"/>
    </w:pPr>
    <w:rPr>
      <w:rFonts w:ascii="Times New Roman" w:eastAsia="Times New Roman" w:hAnsi="Times New Roman" w:cs="Times New Roman"/>
      <w:color w:val="000000"/>
      <w:sz w:val="24"/>
      <w:szCs w:val="24"/>
      <w:lang w:eastAsia="bs-Latn-BA"/>
    </w:rPr>
  </w:style>
  <w:style w:type="paragraph" w:customStyle="1" w:styleId="font6">
    <w:name w:val="font6"/>
    <w:basedOn w:val="Normal"/>
    <w:rsid w:val="001538EF"/>
    <w:pPr>
      <w:spacing w:before="100" w:beforeAutospacing="1" w:after="100" w:afterAutospacing="1"/>
      <w:jc w:val="left"/>
    </w:pPr>
    <w:rPr>
      <w:rFonts w:ascii="Tahoma" w:hAnsi="Tahoma" w:cs="Tahoma"/>
      <w:b/>
      <w:bCs/>
      <w:sz w:val="18"/>
      <w:szCs w:val="18"/>
    </w:rPr>
  </w:style>
  <w:style w:type="paragraph" w:customStyle="1" w:styleId="xl129">
    <w:name w:val="xl129"/>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right"/>
      <w:textAlignment w:val="center"/>
    </w:pPr>
    <w:rPr>
      <w:b/>
      <w:bCs/>
      <w:i/>
      <w:iCs/>
      <w:color w:val="auto"/>
      <w:sz w:val="18"/>
      <w:szCs w:val="18"/>
    </w:rPr>
  </w:style>
  <w:style w:type="paragraph" w:customStyle="1" w:styleId="xl130">
    <w:name w:val="xl130"/>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1">
    <w:name w:val="xl131"/>
    <w:basedOn w:val="Normal"/>
    <w:rsid w:val="001538E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2">
    <w:name w:val="xl132"/>
    <w:basedOn w:val="Normal"/>
    <w:rsid w:val="001538EF"/>
    <w:pPr>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3">
    <w:name w:val="xl133"/>
    <w:basedOn w:val="Normal"/>
    <w:rsid w:val="001538EF"/>
    <w:pPr>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b/>
      <w:bCs/>
      <w:sz w:val="18"/>
      <w:szCs w:val="18"/>
    </w:rPr>
  </w:style>
  <w:style w:type="paragraph" w:customStyle="1" w:styleId="xl134">
    <w:name w:val="xl134"/>
    <w:basedOn w:val="Normal"/>
    <w:rsid w:val="001538E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18"/>
      <w:szCs w:val="18"/>
    </w:rPr>
  </w:style>
  <w:style w:type="table" w:customStyle="1" w:styleId="TableGrid5">
    <w:name w:val="Table Grid5"/>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semiHidden/>
    <w:unhideWhenUsed/>
    <w:qFormat/>
    <w:rsid w:val="001538EF"/>
    <w:pPr>
      <w:spacing w:after="100" w:line="276" w:lineRule="auto"/>
      <w:ind w:left="440"/>
      <w:jc w:val="left"/>
    </w:pPr>
    <w:rPr>
      <w:rFonts w:asciiTheme="minorHAnsi" w:eastAsiaTheme="minorEastAsia" w:hAnsiTheme="minorHAnsi" w:cstheme="minorBidi"/>
      <w:color w:val="auto"/>
      <w:sz w:val="22"/>
      <w:szCs w:val="22"/>
      <w:lang w:val="en-US" w:eastAsia="ja-JP"/>
    </w:rPr>
  </w:style>
  <w:style w:type="paragraph" w:customStyle="1" w:styleId="xl135">
    <w:name w:val="xl135"/>
    <w:basedOn w:val="Normal"/>
    <w:rsid w:val="001538EF"/>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
    <w:rsid w:val="001538EF"/>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color w:val="auto"/>
      <w:sz w:val="18"/>
      <w:szCs w:val="18"/>
    </w:rPr>
  </w:style>
  <w:style w:type="paragraph" w:customStyle="1" w:styleId="xl137">
    <w:name w:val="xl137"/>
    <w:basedOn w:val="Normal"/>
    <w:rsid w:val="001538E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8">
    <w:name w:val="xl138"/>
    <w:basedOn w:val="Normal"/>
    <w:rsid w:val="001538EF"/>
    <w:pPr>
      <w:pBdr>
        <w:top w:val="single" w:sz="4" w:space="0" w:color="auto"/>
        <w:bottom w:val="single" w:sz="4" w:space="0" w:color="auto"/>
      </w:pBdr>
      <w:shd w:val="clear" w:color="000000" w:fill="FCD5B4"/>
      <w:spacing w:before="100" w:beforeAutospacing="1" w:after="100" w:afterAutospacing="1"/>
      <w:jc w:val="center"/>
      <w:textAlignment w:val="center"/>
    </w:pPr>
    <w:rPr>
      <w:b/>
      <w:bCs/>
      <w:i/>
      <w:iCs/>
      <w:color w:val="auto"/>
      <w:sz w:val="18"/>
      <w:szCs w:val="18"/>
    </w:rPr>
  </w:style>
  <w:style w:type="paragraph" w:customStyle="1" w:styleId="xl139">
    <w:name w:val="xl139"/>
    <w:basedOn w:val="Normal"/>
    <w:rsid w:val="001538EF"/>
    <w:pPr>
      <w:pBdr>
        <w:top w:val="single" w:sz="4" w:space="0" w:color="auto"/>
        <w:right w:val="single" w:sz="4" w:space="0" w:color="auto"/>
      </w:pBdr>
      <w:shd w:val="clear" w:color="000000" w:fill="FCD5B4"/>
      <w:spacing w:before="100" w:beforeAutospacing="1" w:after="100" w:afterAutospacing="1"/>
      <w:jc w:val="left"/>
      <w:textAlignment w:val="center"/>
    </w:pPr>
    <w:rPr>
      <w:b/>
      <w:bCs/>
      <w:sz w:val="18"/>
      <w:szCs w:val="18"/>
    </w:rPr>
  </w:style>
  <w:style w:type="paragraph" w:customStyle="1" w:styleId="xl140">
    <w:name w:val="xl140"/>
    <w:basedOn w:val="Normal"/>
    <w:rsid w:val="001538EF"/>
    <w:pPr>
      <w:spacing w:before="100" w:beforeAutospacing="1" w:after="100" w:afterAutospacing="1"/>
      <w:jc w:val="left"/>
    </w:pPr>
    <w:rPr>
      <w:color w:val="auto"/>
      <w:sz w:val="18"/>
      <w:szCs w:val="18"/>
    </w:rPr>
  </w:style>
  <w:style w:type="paragraph" w:customStyle="1" w:styleId="xl141">
    <w:name w:val="xl141"/>
    <w:basedOn w:val="Normal"/>
    <w:rsid w:val="001538EF"/>
    <w:pPr>
      <w:spacing w:before="100" w:beforeAutospacing="1" w:after="100" w:afterAutospacing="1"/>
      <w:jc w:val="right"/>
      <w:textAlignment w:val="center"/>
    </w:pPr>
    <w:rPr>
      <w:color w:val="auto"/>
      <w:sz w:val="18"/>
      <w:szCs w:val="18"/>
    </w:rPr>
  </w:style>
  <w:style w:type="table" w:customStyle="1" w:styleId="TableGrid51">
    <w:name w:val="Table Grid51"/>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538EF"/>
    <w:pPr>
      <w:spacing w:after="0" w:line="240" w:lineRule="auto"/>
    </w:pPr>
    <w:rPr>
      <w:rFonts w:ascii="Times New Roman" w:eastAsia="Times New Roman" w:hAnsi="Times New Roman" w:cs="Times New Roman"/>
      <w:color w:val="000000"/>
      <w:sz w:val="24"/>
      <w:szCs w:val="24"/>
      <w:lang w:eastAsia="bs-Latn-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uiPriority w:val="59"/>
    <w:rsid w:val="001538EF"/>
    <w:pPr>
      <w:spacing w:after="0" w:line="240" w:lineRule="auto"/>
    </w:pPr>
    <w:rPr>
      <w:rFonts w:ascii="Times New Roman" w:eastAsia="Times New Roman" w:hAnsi="Times New Roman" w:cs="Times New Roman"/>
      <w:color w:val="000000"/>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ody Text1,b,heading3,Body Text - Level 2,Body Text x,Szövegtörzs1,body text,contents,body,b-heading 1/heading 2,bd,heading1body-heading2body,bt"/>
    <w:basedOn w:val="Normal"/>
    <w:link w:val="BodyTextChar"/>
    <w:uiPriority w:val="99"/>
    <w:rsid w:val="001538EF"/>
    <w:pPr>
      <w:widowControl w:val="0"/>
      <w:spacing w:after="240"/>
      <w:jc w:val="left"/>
    </w:pPr>
    <w:rPr>
      <w:color w:val="auto"/>
      <w:szCs w:val="20"/>
      <w:lang w:val="en-US" w:eastAsia="en-US"/>
    </w:rPr>
  </w:style>
  <w:style w:type="character" w:customStyle="1" w:styleId="BodyTextChar">
    <w:name w:val="Body Text Char"/>
    <w:aliases w:val="Body Text1 Char,b Char,heading3 Char,Body Text - Level 2 Char,Body Text x Char,Szövegtörzs1 Char,body text Char,contents Char,body Char,b-heading 1/heading 2 Char,bd Char,heading1body-heading2body Char,bt Char"/>
    <w:basedOn w:val="DefaultParagraphFont"/>
    <w:link w:val="BodyText"/>
    <w:uiPriority w:val="99"/>
    <w:rsid w:val="001538EF"/>
    <w:rPr>
      <w:rFonts w:ascii="Times New Roman" w:eastAsia="Times New Roman" w:hAnsi="Times New Roman" w:cs="Times New Roman"/>
      <w:sz w:val="24"/>
      <w:szCs w:val="20"/>
      <w:lang w:val="en-US"/>
    </w:rPr>
  </w:style>
  <w:style w:type="paragraph" w:customStyle="1" w:styleId="TableParagraph">
    <w:name w:val="Table Paragraph"/>
    <w:basedOn w:val="Normal"/>
    <w:uiPriority w:val="1"/>
    <w:qFormat/>
    <w:rsid w:val="001538EF"/>
    <w:pPr>
      <w:widowControl w:val="0"/>
      <w:autoSpaceDE w:val="0"/>
      <w:autoSpaceDN w:val="0"/>
      <w:ind w:left="105"/>
      <w:jc w:val="left"/>
    </w:pPr>
    <w:rPr>
      <w:color w:val="auto"/>
      <w:sz w:val="22"/>
      <w:szCs w:val="22"/>
      <w:lang w:val="en-US" w:eastAsia="en-US"/>
    </w:rPr>
  </w:style>
  <w:style w:type="paragraph" w:customStyle="1" w:styleId="xl63">
    <w:name w:val="xl63"/>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rFonts w:ascii="Arial Narrow" w:hAnsi="Arial Narrow"/>
      <w:b/>
      <w:bCs/>
      <w:color w:val="080000"/>
    </w:rPr>
  </w:style>
  <w:style w:type="paragraph" w:customStyle="1" w:styleId="xl64">
    <w:name w:val="xl64"/>
    <w:basedOn w:val="Normal"/>
    <w:rsid w:val="001538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bottom"/>
    </w:pPr>
    <w:rPr>
      <w:rFonts w:ascii="Arial Narrow" w:hAnsi="Arial Narrow"/>
      <w:b/>
      <w:bCs/>
      <w:color w:val="080000"/>
    </w:rPr>
  </w:style>
  <w:style w:type="numbering" w:customStyle="1" w:styleId="Stil1">
    <w:name w:val="Stil1"/>
    <w:uiPriority w:val="99"/>
    <w:rsid w:val="001538EF"/>
    <w:pPr>
      <w:numPr>
        <w:numId w:val="6"/>
      </w:numPr>
    </w:pPr>
  </w:style>
  <w:style w:type="numbering" w:customStyle="1" w:styleId="Stil2">
    <w:name w:val="Stil2"/>
    <w:uiPriority w:val="99"/>
    <w:rsid w:val="001538EF"/>
    <w:pPr>
      <w:numPr>
        <w:numId w:val="12"/>
      </w:numPr>
    </w:pPr>
  </w:style>
  <w:style w:type="numbering" w:customStyle="1" w:styleId="Stil5">
    <w:name w:val="Stil5"/>
    <w:uiPriority w:val="99"/>
    <w:rsid w:val="001538EF"/>
    <w:pPr>
      <w:numPr>
        <w:numId w:val="13"/>
      </w:numPr>
    </w:pPr>
  </w:style>
  <w:style w:type="paragraph" w:customStyle="1" w:styleId="Heading11">
    <w:name w:val="Heading 11"/>
    <w:basedOn w:val="Normal"/>
    <w:rsid w:val="001538EF"/>
    <w:pPr>
      <w:numPr>
        <w:numId w:val="17"/>
      </w:numPr>
      <w:spacing w:after="240"/>
      <w:ind w:left="357" w:hanging="357"/>
    </w:pPr>
    <w:rPr>
      <w:rFonts w:ascii="Calibri" w:hAnsi="Calibri"/>
      <w:b/>
      <w:caps/>
      <w:sz w:val="22"/>
    </w:rPr>
  </w:style>
  <w:style w:type="paragraph" w:customStyle="1" w:styleId="Heading21">
    <w:name w:val="Heading 21"/>
    <w:basedOn w:val="Normal"/>
    <w:rsid w:val="001538EF"/>
    <w:pPr>
      <w:numPr>
        <w:ilvl w:val="1"/>
        <w:numId w:val="17"/>
      </w:numPr>
    </w:pPr>
  </w:style>
  <w:style w:type="paragraph" w:customStyle="1" w:styleId="Heading31">
    <w:name w:val="Heading 31"/>
    <w:basedOn w:val="Normal"/>
    <w:rsid w:val="001538EF"/>
    <w:pPr>
      <w:numPr>
        <w:ilvl w:val="2"/>
        <w:numId w:val="17"/>
      </w:numPr>
    </w:pPr>
  </w:style>
  <w:style w:type="paragraph" w:customStyle="1" w:styleId="Heading41">
    <w:name w:val="Heading 41"/>
    <w:basedOn w:val="Normal"/>
    <w:rsid w:val="001538EF"/>
    <w:pPr>
      <w:numPr>
        <w:ilvl w:val="3"/>
        <w:numId w:val="17"/>
      </w:numPr>
    </w:pPr>
  </w:style>
  <w:style w:type="paragraph" w:customStyle="1" w:styleId="Heading51">
    <w:name w:val="Heading 51"/>
    <w:basedOn w:val="Normal"/>
    <w:rsid w:val="001538EF"/>
    <w:pPr>
      <w:numPr>
        <w:ilvl w:val="4"/>
        <w:numId w:val="17"/>
      </w:numPr>
    </w:pPr>
  </w:style>
  <w:style w:type="paragraph" w:customStyle="1" w:styleId="Heading61">
    <w:name w:val="Heading 61"/>
    <w:basedOn w:val="Normal"/>
    <w:rsid w:val="001538EF"/>
    <w:pPr>
      <w:numPr>
        <w:ilvl w:val="5"/>
        <w:numId w:val="17"/>
      </w:numPr>
    </w:pPr>
  </w:style>
  <w:style w:type="paragraph" w:customStyle="1" w:styleId="Heading71">
    <w:name w:val="Heading 71"/>
    <w:basedOn w:val="Normal"/>
    <w:rsid w:val="001538EF"/>
    <w:pPr>
      <w:numPr>
        <w:ilvl w:val="6"/>
        <w:numId w:val="17"/>
      </w:numPr>
    </w:pPr>
  </w:style>
  <w:style w:type="paragraph" w:customStyle="1" w:styleId="Heading81">
    <w:name w:val="Heading 81"/>
    <w:basedOn w:val="Normal"/>
    <w:rsid w:val="001538EF"/>
    <w:pPr>
      <w:numPr>
        <w:ilvl w:val="7"/>
        <w:numId w:val="17"/>
      </w:numPr>
    </w:pPr>
  </w:style>
  <w:style w:type="paragraph" w:customStyle="1" w:styleId="Heading91">
    <w:name w:val="Heading 91"/>
    <w:basedOn w:val="Normal"/>
    <w:rsid w:val="001538EF"/>
    <w:pPr>
      <w:numPr>
        <w:ilvl w:val="8"/>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6840">
      <w:bodyDiv w:val="1"/>
      <w:marLeft w:val="0"/>
      <w:marRight w:val="0"/>
      <w:marTop w:val="0"/>
      <w:marBottom w:val="0"/>
      <w:divBdr>
        <w:top w:val="none" w:sz="0" w:space="0" w:color="auto"/>
        <w:left w:val="none" w:sz="0" w:space="0" w:color="auto"/>
        <w:bottom w:val="none" w:sz="0" w:space="0" w:color="auto"/>
        <w:right w:val="none" w:sz="0" w:space="0" w:color="auto"/>
      </w:divBdr>
    </w:div>
    <w:div w:id="22679829">
      <w:bodyDiv w:val="1"/>
      <w:marLeft w:val="0"/>
      <w:marRight w:val="0"/>
      <w:marTop w:val="0"/>
      <w:marBottom w:val="0"/>
      <w:divBdr>
        <w:top w:val="none" w:sz="0" w:space="0" w:color="auto"/>
        <w:left w:val="none" w:sz="0" w:space="0" w:color="auto"/>
        <w:bottom w:val="none" w:sz="0" w:space="0" w:color="auto"/>
        <w:right w:val="none" w:sz="0" w:space="0" w:color="auto"/>
      </w:divBdr>
    </w:div>
    <w:div w:id="48647637">
      <w:bodyDiv w:val="1"/>
      <w:marLeft w:val="0"/>
      <w:marRight w:val="0"/>
      <w:marTop w:val="0"/>
      <w:marBottom w:val="0"/>
      <w:divBdr>
        <w:top w:val="none" w:sz="0" w:space="0" w:color="auto"/>
        <w:left w:val="none" w:sz="0" w:space="0" w:color="auto"/>
        <w:bottom w:val="none" w:sz="0" w:space="0" w:color="auto"/>
        <w:right w:val="none" w:sz="0" w:space="0" w:color="auto"/>
      </w:divBdr>
    </w:div>
    <w:div w:id="91751571">
      <w:bodyDiv w:val="1"/>
      <w:marLeft w:val="0"/>
      <w:marRight w:val="0"/>
      <w:marTop w:val="0"/>
      <w:marBottom w:val="0"/>
      <w:divBdr>
        <w:top w:val="none" w:sz="0" w:space="0" w:color="auto"/>
        <w:left w:val="none" w:sz="0" w:space="0" w:color="auto"/>
        <w:bottom w:val="none" w:sz="0" w:space="0" w:color="auto"/>
        <w:right w:val="none" w:sz="0" w:space="0" w:color="auto"/>
      </w:divBdr>
    </w:div>
    <w:div w:id="123667048">
      <w:bodyDiv w:val="1"/>
      <w:marLeft w:val="0"/>
      <w:marRight w:val="0"/>
      <w:marTop w:val="0"/>
      <w:marBottom w:val="0"/>
      <w:divBdr>
        <w:top w:val="none" w:sz="0" w:space="0" w:color="auto"/>
        <w:left w:val="none" w:sz="0" w:space="0" w:color="auto"/>
        <w:bottom w:val="none" w:sz="0" w:space="0" w:color="auto"/>
        <w:right w:val="none" w:sz="0" w:space="0" w:color="auto"/>
      </w:divBdr>
    </w:div>
    <w:div w:id="158431020">
      <w:bodyDiv w:val="1"/>
      <w:marLeft w:val="0"/>
      <w:marRight w:val="0"/>
      <w:marTop w:val="0"/>
      <w:marBottom w:val="0"/>
      <w:divBdr>
        <w:top w:val="none" w:sz="0" w:space="0" w:color="auto"/>
        <w:left w:val="none" w:sz="0" w:space="0" w:color="auto"/>
        <w:bottom w:val="none" w:sz="0" w:space="0" w:color="auto"/>
        <w:right w:val="none" w:sz="0" w:space="0" w:color="auto"/>
      </w:divBdr>
    </w:div>
    <w:div w:id="206768155">
      <w:bodyDiv w:val="1"/>
      <w:marLeft w:val="0"/>
      <w:marRight w:val="0"/>
      <w:marTop w:val="0"/>
      <w:marBottom w:val="0"/>
      <w:divBdr>
        <w:top w:val="none" w:sz="0" w:space="0" w:color="auto"/>
        <w:left w:val="none" w:sz="0" w:space="0" w:color="auto"/>
        <w:bottom w:val="none" w:sz="0" w:space="0" w:color="auto"/>
        <w:right w:val="none" w:sz="0" w:space="0" w:color="auto"/>
      </w:divBdr>
    </w:div>
    <w:div w:id="237906957">
      <w:bodyDiv w:val="1"/>
      <w:marLeft w:val="0"/>
      <w:marRight w:val="0"/>
      <w:marTop w:val="0"/>
      <w:marBottom w:val="0"/>
      <w:divBdr>
        <w:top w:val="none" w:sz="0" w:space="0" w:color="auto"/>
        <w:left w:val="none" w:sz="0" w:space="0" w:color="auto"/>
        <w:bottom w:val="none" w:sz="0" w:space="0" w:color="auto"/>
        <w:right w:val="none" w:sz="0" w:space="0" w:color="auto"/>
      </w:divBdr>
    </w:div>
    <w:div w:id="247274794">
      <w:bodyDiv w:val="1"/>
      <w:marLeft w:val="0"/>
      <w:marRight w:val="0"/>
      <w:marTop w:val="0"/>
      <w:marBottom w:val="0"/>
      <w:divBdr>
        <w:top w:val="none" w:sz="0" w:space="0" w:color="auto"/>
        <w:left w:val="none" w:sz="0" w:space="0" w:color="auto"/>
        <w:bottom w:val="none" w:sz="0" w:space="0" w:color="auto"/>
        <w:right w:val="none" w:sz="0" w:space="0" w:color="auto"/>
      </w:divBdr>
    </w:div>
    <w:div w:id="320622391">
      <w:bodyDiv w:val="1"/>
      <w:marLeft w:val="0"/>
      <w:marRight w:val="0"/>
      <w:marTop w:val="0"/>
      <w:marBottom w:val="0"/>
      <w:divBdr>
        <w:top w:val="none" w:sz="0" w:space="0" w:color="auto"/>
        <w:left w:val="none" w:sz="0" w:space="0" w:color="auto"/>
        <w:bottom w:val="none" w:sz="0" w:space="0" w:color="auto"/>
        <w:right w:val="none" w:sz="0" w:space="0" w:color="auto"/>
      </w:divBdr>
    </w:div>
    <w:div w:id="387385510">
      <w:bodyDiv w:val="1"/>
      <w:marLeft w:val="0"/>
      <w:marRight w:val="0"/>
      <w:marTop w:val="0"/>
      <w:marBottom w:val="0"/>
      <w:divBdr>
        <w:top w:val="none" w:sz="0" w:space="0" w:color="auto"/>
        <w:left w:val="none" w:sz="0" w:space="0" w:color="auto"/>
        <w:bottom w:val="none" w:sz="0" w:space="0" w:color="auto"/>
        <w:right w:val="none" w:sz="0" w:space="0" w:color="auto"/>
      </w:divBdr>
    </w:div>
    <w:div w:id="423958650">
      <w:bodyDiv w:val="1"/>
      <w:marLeft w:val="0"/>
      <w:marRight w:val="0"/>
      <w:marTop w:val="0"/>
      <w:marBottom w:val="0"/>
      <w:divBdr>
        <w:top w:val="none" w:sz="0" w:space="0" w:color="auto"/>
        <w:left w:val="none" w:sz="0" w:space="0" w:color="auto"/>
        <w:bottom w:val="none" w:sz="0" w:space="0" w:color="auto"/>
        <w:right w:val="none" w:sz="0" w:space="0" w:color="auto"/>
      </w:divBdr>
    </w:div>
    <w:div w:id="437681345">
      <w:bodyDiv w:val="1"/>
      <w:marLeft w:val="0"/>
      <w:marRight w:val="0"/>
      <w:marTop w:val="0"/>
      <w:marBottom w:val="0"/>
      <w:divBdr>
        <w:top w:val="none" w:sz="0" w:space="0" w:color="auto"/>
        <w:left w:val="none" w:sz="0" w:space="0" w:color="auto"/>
        <w:bottom w:val="none" w:sz="0" w:space="0" w:color="auto"/>
        <w:right w:val="none" w:sz="0" w:space="0" w:color="auto"/>
      </w:divBdr>
    </w:div>
    <w:div w:id="512307475">
      <w:bodyDiv w:val="1"/>
      <w:marLeft w:val="0"/>
      <w:marRight w:val="0"/>
      <w:marTop w:val="0"/>
      <w:marBottom w:val="0"/>
      <w:divBdr>
        <w:top w:val="none" w:sz="0" w:space="0" w:color="auto"/>
        <w:left w:val="none" w:sz="0" w:space="0" w:color="auto"/>
        <w:bottom w:val="none" w:sz="0" w:space="0" w:color="auto"/>
        <w:right w:val="none" w:sz="0" w:space="0" w:color="auto"/>
      </w:divBdr>
    </w:div>
    <w:div w:id="638267306">
      <w:bodyDiv w:val="1"/>
      <w:marLeft w:val="0"/>
      <w:marRight w:val="0"/>
      <w:marTop w:val="0"/>
      <w:marBottom w:val="0"/>
      <w:divBdr>
        <w:top w:val="none" w:sz="0" w:space="0" w:color="auto"/>
        <w:left w:val="none" w:sz="0" w:space="0" w:color="auto"/>
        <w:bottom w:val="none" w:sz="0" w:space="0" w:color="auto"/>
        <w:right w:val="none" w:sz="0" w:space="0" w:color="auto"/>
      </w:divBdr>
    </w:div>
    <w:div w:id="739257971">
      <w:bodyDiv w:val="1"/>
      <w:marLeft w:val="0"/>
      <w:marRight w:val="0"/>
      <w:marTop w:val="0"/>
      <w:marBottom w:val="0"/>
      <w:divBdr>
        <w:top w:val="none" w:sz="0" w:space="0" w:color="auto"/>
        <w:left w:val="none" w:sz="0" w:space="0" w:color="auto"/>
        <w:bottom w:val="none" w:sz="0" w:space="0" w:color="auto"/>
        <w:right w:val="none" w:sz="0" w:space="0" w:color="auto"/>
      </w:divBdr>
    </w:div>
    <w:div w:id="746461805">
      <w:bodyDiv w:val="1"/>
      <w:marLeft w:val="0"/>
      <w:marRight w:val="0"/>
      <w:marTop w:val="0"/>
      <w:marBottom w:val="0"/>
      <w:divBdr>
        <w:top w:val="none" w:sz="0" w:space="0" w:color="auto"/>
        <w:left w:val="none" w:sz="0" w:space="0" w:color="auto"/>
        <w:bottom w:val="none" w:sz="0" w:space="0" w:color="auto"/>
        <w:right w:val="none" w:sz="0" w:space="0" w:color="auto"/>
      </w:divBdr>
    </w:div>
    <w:div w:id="808478051">
      <w:bodyDiv w:val="1"/>
      <w:marLeft w:val="0"/>
      <w:marRight w:val="0"/>
      <w:marTop w:val="0"/>
      <w:marBottom w:val="0"/>
      <w:divBdr>
        <w:top w:val="none" w:sz="0" w:space="0" w:color="auto"/>
        <w:left w:val="none" w:sz="0" w:space="0" w:color="auto"/>
        <w:bottom w:val="none" w:sz="0" w:space="0" w:color="auto"/>
        <w:right w:val="none" w:sz="0" w:space="0" w:color="auto"/>
      </w:divBdr>
    </w:div>
    <w:div w:id="950010767">
      <w:bodyDiv w:val="1"/>
      <w:marLeft w:val="0"/>
      <w:marRight w:val="0"/>
      <w:marTop w:val="0"/>
      <w:marBottom w:val="0"/>
      <w:divBdr>
        <w:top w:val="none" w:sz="0" w:space="0" w:color="auto"/>
        <w:left w:val="none" w:sz="0" w:space="0" w:color="auto"/>
        <w:bottom w:val="none" w:sz="0" w:space="0" w:color="auto"/>
        <w:right w:val="none" w:sz="0" w:space="0" w:color="auto"/>
      </w:divBdr>
    </w:div>
    <w:div w:id="981234571">
      <w:bodyDiv w:val="1"/>
      <w:marLeft w:val="0"/>
      <w:marRight w:val="0"/>
      <w:marTop w:val="0"/>
      <w:marBottom w:val="0"/>
      <w:divBdr>
        <w:top w:val="none" w:sz="0" w:space="0" w:color="auto"/>
        <w:left w:val="none" w:sz="0" w:space="0" w:color="auto"/>
        <w:bottom w:val="none" w:sz="0" w:space="0" w:color="auto"/>
        <w:right w:val="none" w:sz="0" w:space="0" w:color="auto"/>
      </w:divBdr>
    </w:div>
    <w:div w:id="1133517935">
      <w:bodyDiv w:val="1"/>
      <w:marLeft w:val="0"/>
      <w:marRight w:val="0"/>
      <w:marTop w:val="0"/>
      <w:marBottom w:val="0"/>
      <w:divBdr>
        <w:top w:val="none" w:sz="0" w:space="0" w:color="auto"/>
        <w:left w:val="none" w:sz="0" w:space="0" w:color="auto"/>
        <w:bottom w:val="none" w:sz="0" w:space="0" w:color="auto"/>
        <w:right w:val="none" w:sz="0" w:space="0" w:color="auto"/>
      </w:divBdr>
    </w:div>
    <w:div w:id="1192497246">
      <w:bodyDiv w:val="1"/>
      <w:marLeft w:val="0"/>
      <w:marRight w:val="0"/>
      <w:marTop w:val="0"/>
      <w:marBottom w:val="0"/>
      <w:divBdr>
        <w:top w:val="none" w:sz="0" w:space="0" w:color="auto"/>
        <w:left w:val="none" w:sz="0" w:space="0" w:color="auto"/>
        <w:bottom w:val="none" w:sz="0" w:space="0" w:color="auto"/>
        <w:right w:val="none" w:sz="0" w:space="0" w:color="auto"/>
      </w:divBdr>
    </w:div>
    <w:div w:id="1204364142">
      <w:bodyDiv w:val="1"/>
      <w:marLeft w:val="0"/>
      <w:marRight w:val="0"/>
      <w:marTop w:val="0"/>
      <w:marBottom w:val="0"/>
      <w:divBdr>
        <w:top w:val="none" w:sz="0" w:space="0" w:color="auto"/>
        <w:left w:val="none" w:sz="0" w:space="0" w:color="auto"/>
        <w:bottom w:val="none" w:sz="0" w:space="0" w:color="auto"/>
        <w:right w:val="none" w:sz="0" w:space="0" w:color="auto"/>
      </w:divBdr>
    </w:div>
    <w:div w:id="1225291859">
      <w:bodyDiv w:val="1"/>
      <w:marLeft w:val="0"/>
      <w:marRight w:val="0"/>
      <w:marTop w:val="0"/>
      <w:marBottom w:val="0"/>
      <w:divBdr>
        <w:top w:val="none" w:sz="0" w:space="0" w:color="auto"/>
        <w:left w:val="none" w:sz="0" w:space="0" w:color="auto"/>
        <w:bottom w:val="none" w:sz="0" w:space="0" w:color="auto"/>
        <w:right w:val="none" w:sz="0" w:space="0" w:color="auto"/>
      </w:divBdr>
    </w:div>
    <w:div w:id="1320423535">
      <w:bodyDiv w:val="1"/>
      <w:marLeft w:val="0"/>
      <w:marRight w:val="0"/>
      <w:marTop w:val="0"/>
      <w:marBottom w:val="0"/>
      <w:divBdr>
        <w:top w:val="none" w:sz="0" w:space="0" w:color="auto"/>
        <w:left w:val="none" w:sz="0" w:space="0" w:color="auto"/>
        <w:bottom w:val="none" w:sz="0" w:space="0" w:color="auto"/>
        <w:right w:val="none" w:sz="0" w:space="0" w:color="auto"/>
      </w:divBdr>
    </w:div>
    <w:div w:id="1377007981">
      <w:bodyDiv w:val="1"/>
      <w:marLeft w:val="0"/>
      <w:marRight w:val="0"/>
      <w:marTop w:val="0"/>
      <w:marBottom w:val="0"/>
      <w:divBdr>
        <w:top w:val="none" w:sz="0" w:space="0" w:color="auto"/>
        <w:left w:val="none" w:sz="0" w:space="0" w:color="auto"/>
        <w:bottom w:val="none" w:sz="0" w:space="0" w:color="auto"/>
        <w:right w:val="none" w:sz="0" w:space="0" w:color="auto"/>
      </w:divBdr>
    </w:div>
    <w:div w:id="1385908509">
      <w:bodyDiv w:val="1"/>
      <w:marLeft w:val="0"/>
      <w:marRight w:val="0"/>
      <w:marTop w:val="0"/>
      <w:marBottom w:val="0"/>
      <w:divBdr>
        <w:top w:val="none" w:sz="0" w:space="0" w:color="auto"/>
        <w:left w:val="none" w:sz="0" w:space="0" w:color="auto"/>
        <w:bottom w:val="none" w:sz="0" w:space="0" w:color="auto"/>
        <w:right w:val="none" w:sz="0" w:space="0" w:color="auto"/>
      </w:divBdr>
    </w:div>
    <w:div w:id="1411274612">
      <w:bodyDiv w:val="1"/>
      <w:marLeft w:val="0"/>
      <w:marRight w:val="0"/>
      <w:marTop w:val="0"/>
      <w:marBottom w:val="0"/>
      <w:divBdr>
        <w:top w:val="none" w:sz="0" w:space="0" w:color="auto"/>
        <w:left w:val="none" w:sz="0" w:space="0" w:color="auto"/>
        <w:bottom w:val="none" w:sz="0" w:space="0" w:color="auto"/>
        <w:right w:val="none" w:sz="0" w:space="0" w:color="auto"/>
      </w:divBdr>
    </w:div>
    <w:div w:id="1440029331">
      <w:bodyDiv w:val="1"/>
      <w:marLeft w:val="0"/>
      <w:marRight w:val="0"/>
      <w:marTop w:val="0"/>
      <w:marBottom w:val="0"/>
      <w:divBdr>
        <w:top w:val="none" w:sz="0" w:space="0" w:color="auto"/>
        <w:left w:val="none" w:sz="0" w:space="0" w:color="auto"/>
        <w:bottom w:val="none" w:sz="0" w:space="0" w:color="auto"/>
        <w:right w:val="none" w:sz="0" w:space="0" w:color="auto"/>
      </w:divBdr>
    </w:div>
    <w:div w:id="1563953653">
      <w:bodyDiv w:val="1"/>
      <w:marLeft w:val="0"/>
      <w:marRight w:val="0"/>
      <w:marTop w:val="0"/>
      <w:marBottom w:val="0"/>
      <w:divBdr>
        <w:top w:val="none" w:sz="0" w:space="0" w:color="auto"/>
        <w:left w:val="none" w:sz="0" w:space="0" w:color="auto"/>
        <w:bottom w:val="none" w:sz="0" w:space="0" w:color="auto"/>
        <w:right w:val="none" w:sz="0" w:space="0" w:color="auto"/>
      </w:divBdr>
    </w:div>
    <w:div w:id="1578906607">
      <w:bodyDiv w:val="1"/>
      <w:marLeft w:val="0"/>
      <w:marRight w:val="0"/>
      <w:marTop w:val="0"/>
      <w:marBottom w:val="0"/>
      <w:divBdr>
        <w:top w:val="none" w:sz="0" w:space="0" w:color="auto"/>
        <w:left w:val="none" w:sz="0" w:space="0" w:color="auto"/>
        <w:bottom w:val="none" w:sz="0" w:space="0" w:color="auto"/>
        <w:right w:val="none" w:sz="0" w:space="0" w:color="auto"/>
      </w:divBdr>
    </w:div>
    <w:div w:id="1624269165">
      <w:bodyDiv w:val="1"/>
      <w:marLeft w:val="0"/>
      <w:marRight w:val="0"/>
      <w:marTop w:val="0"/>
      <w:marBottom w:val="0"/>
      <w:divBdr>
        <w:top w:val="none" w:sz="0" w:space="0" w:color="auto"/>
        <w:left w:val="none" w:sz="0" w:space="0" w:color="auto"/>
        <w:bottom w:val="none" w:sz="0" w:space="0" w:color="auto"/>
        <w:right w:val="none" w:sz="0" w:space="0" w:color="auto"/>
      </w:divBdr>
    </w:div>
    <w:div w:id="1659336744">
      <w:bodyDiv w:val="1"/>
      <w:marLeft w:val="0"/>
      <w:marRight w:val="0"/>
      <w:marTop w:val="0"/>
      <w:marBottom w:val="0"/>
      <w:divBdr>
        <w:top w:val="none" w:sz="0" w:space="0" w:color="auto"/>
        <w:left w:val="none" w:sz="0" w:space="0" w:color="auto"/>
        <w:bottom w:val="none" w:sz="0" w:space="0" w:color="auto"/>
        <w:right w:val="none" w:sz="0" w:space="0" w:color="auto"/>
      </w:divBdr>
    </w:div>
    <w:div w:id="1673800700">
      <w:bodyDiv w:val="1"/>
      <w:marLeft w:val="0"/>
      <w:marRight w:val="0"/>
      <w:marTop w:val="0"/>
      <w:marBottom w:val="0"/>
      <w:divBdr>
        <w:top w:val="none" w:sz="0" w:space="0" w:color="auto"/>
        <w:left w:val="none" w:sz="0" w:space="0" w:color="auto"/>
        <w:bottom w:val="none" w:sz="0" w:space="0" w:color="auto"/>
        <w:right w:val="none" w:sz="0" w:space="0" w:color="auto"/>
      </w:divBdr>
    </w:div>
    <w:div w:id="1716538791">
      <w:bodyDiv w:val="1"/>
      <w:marLeft w:val="0"/>
      <w:marRight w:val="0"/>
      <w:marTop w:val="0"/>
      <w:marBottom w:val="0"/>
      <w:divBdr>
        <w:top w:val="none" w:sz="0" w:space="0" w:color="auto"/>
        <w:left w:val="none" w:sz="0" w:space="0" w:color="auto"/>
        <w:bottom w:val="none" w:sz="0" w:space="0" w:color="auto"/>
        <w:right w:val="none" w:sz="0" w:space="0" w:color="auto"/>
      </w:divBdr>
    </w:div>
    <w:div w:id="1741173547">
      <w:bodyDiv w:val="1"/>
      <w:marLeft w:val="0"/>
      <w:marRight w:val="0"/>
      <w:marTop w:val="0"/>
      <w:marBottom w:val="0"/>
      <w:divBdr>
        <w:top w:val="none" w:sz="0" w:space="0" w:color="auto"/>
        <w:left w:val="none" w:sz="0" w:space="0" w:color="auto"/>
        <w:bottom w:val="none" w:sz="0" w:space="0" w:color="auto"/>
        <w:right w:val="none" w:sz="0" w:space="0" w:color="auto"/>
      </w:divBdr>
    </w:div>
    <w:div w:id="1809935574">
      <w:bodyDiv w:val="1"/>
      <w:marLeft w:val="0"/>
      <w:marRight w:val="0"/>
      <w:marTop w:val="0"/>
      <w:marBottom w:val="0"/>
      <w:divBdr>
        <w:top w:val="none" w:sz="0" w:space="0" w:color="auto"/>
        <w:left w:val="none" w:sz="0" w:space="0" w:color="auto"/>
        <w:bottom w:val="none" w:sz="0" w:space="0" w:color="auto"/>
        <w:right w:val="none" w:sz="0" w:space="0" w:color="auto"/>
      </w:divBdr>
    </w:div>
    <w:div w:id="1814835348">
      <w:bodyDiv w:val="1"/>
      <w:marLeft w:val="0"/>
      <w:marRight w:val="0"/>
      <w:marTop w:val="0"/>
      <w:marBottom w:val="0"/>
      <w:divBdr>
        <w:top w:val="none" w:sz="0" w:space="0" w:color="auto"/>
        <w:left w:val="none" w:sz="0" w:space="0" w:color="auto"/>
        <w:bottom w:val="none" w:sz="0" w:space="0" w:color="auto"/>
        <w:right w:val="none" w:sz="0" w:space="0" w:color="auto"/>
      </w:divBdr>
    </w:div>
    <w:div w:id="1889996848">
      <w:bodyDiv w:val="1"/>
      <w:marLeft w:val="0"/>
      <w:marRight w:val="0"/>
      <w:marTop w:val="0"/>
      <w:marBottom w:val="0"/>
      <w:divBdr>
        <w:top w:val="none" w:sz="0" w:space="0" w:color="auto"/>
        <w:left w:val="none" w:sz="0" w:space="0" w:color="auto"/>
        <w:bottom w:val="none" w:sz="0" w:space="0" w:color="auto"/>
        <w:right w:val="none" w:sz="0" w:space="0" w:color="auto"/>
      </w:divBdr>
    </w:div>
    <w:div w:id="1900705822">
      <w:bodyDiv w:val="1"/>
      <w:marLeft w:val="0"/>
      <w:marRight w:val="0"/>
      <w:marTop w:val="0"/>
      <w:marBottom w:val="0"/>
      <w:divBdr>
        <w:top w:val="none" w:sz="0" w:space="0" w:color="auto"/>
        <w:left w:val="none" w:sz="0" w:space="0" w:color="auto"/>
        <w:bottom w:val="none" w:sz="0" w:space="0" w:color="auto"/>
        <w:right w:val="none" w:sz="0" w:space="0" w:color="auto"/>
      </w:divBdr>
    </w:div>
    <w:div w:id="1969773670">
      <w:bodyDiv w:val="1"/>
      <w:marLeft w:val="0"/>
      <w:marRight w:val="0"/>
      <w:marTop w:val="0"/>
      <w:marBottom w:val="0"/>
      <w:divBdr>
        <w:top w:val="none" w:sz="0" w:space="0" w:color="auto"/>
        <w:left w:val="none" w:sz="0" w:space="0" w:color="auto"/>
        <w:bottom w:val="none" w:sz="0" w:space="0" w:color="auto"/>
        <w:right w:val="none" w:sz="0" w:space="0" w:color="auto"/>
      </w:divBdr>
    </w:div>
    <w:div w:id="1973367835">
      <w:bodyDiv w:val="1"/>
      <w:marLeft w:val="0"/>
      <w:marRight w:val="0"/>
      <w:marTop w:val="0"/>
      <w:marBottom w:val="0"/>
      <w:divBdr>
        <w:top w:val="none" w:sz="0" w:space="0" w:color="auto"/>
        <w:left w:val="none" w:sz="0" w:space="0" w:color="auto"/>
        <w:bottom w:val="none" w:sz="0" w:space="0" w:color="auto"/>
        <w:right w:val="none" w:sz="0" w:space="0" w:color="auto"/>
      </w:divBdr>
    </w:div>
    <w:div w:id="2012676135">
      <w:bodyDiv w:val="1"/>
      <w:marLeft w:val="0"/>
      <w:marRight w:val="0"/>
      <w:marTop w:val="0"/>
      <w:marBottom w:val="0"/>
      <w:divBdr>
        <w:top w:val="none" w:sz="0" w:space="0" w:color="auto"/>
        <w:left w:val="none" w:sz="0" w:space="0" w:color="auto"/>
        <w:bottom w:val="none" w:sz="0" w:space="0" w:color="auto"/>
        <w:right w:val="none" w:sz="0" w:space="0" w:color="auto"/>
      </w:divBdr>
    </w:div>
    <w:div w:id="2014449461">
      <w:bodyDiv w:val="1"/>
      <w:marLeft w:val="0"/>
      <w:marRight w:val="0"/>
      <w:marTop w:val="0"/>
      <w:marBottom w:val="0"/>
      <w:divBdr>
        <w:top w:val="none" w:sz="0" w:space="0" w:color="auto"/>
        <w:left w:val="none" w:sz="0" w:space="0" w:color="auto"/>
        <w:bottom w:val="none" w:sz="0" w:space="0" w:color="auto"/>
        <w:right w:val="none" w:sz="0" w:space="0" w:color="auto"/>
      </w:divBdr>
    </w:div>
    <w:div w:id="2060812077">
      <w:bodyDiv w:val="1"/>
      <w:marLeft w:val="0"/>
      <w:marRight w:val="0"/>
      <w:marTop w:val="0"/>
      <w:marBottom w:val="0"/>
      <w:divBdr>
        <w:top w:val="none" w:sz="0" w:space="0" w:color="auto"/>
        <w:left w:val="none" w:sz="0" w:space="0" w:color="auto"/>
        <w:bottom w:val="none" w:sz="0" w:space="0" w:color="auto"/>
        <w:right w:val="none" w:sz="0" w:space="0" w:color="auto"/>
      </w:divBdr>
    </w:div>
    <w:div w:id="2091459044">
      <w:bodyDiv w:val="1"/>
      <w:marLeft w:val="0"/>
      <w:marRight w:val="0"/>
      <w:marTop w:val="0"/>
      <w:marBottom w:val="0"/>
      <w:divBdr>
        <w:top w:val="none" w:sz="0" w:space="0" w:color="auto"/>
        <w:left w:val="none" w:sz="0" w:space="0" w:color="auto"/>
        <w:bottom w:val="none" w:sz="0" w:space="0" w:color="auto"/>
        <w:right w:val="none" w:sz="0" w:space="0" w:color="auto"/>
      </w:divBdr>
    </w:div>
    <w:div w:id="2096592267">
      <w:bodyDiv w:val="1"/>
      <w:marLeft w:val="0"/>
      <w:marRight w:val="0"/>
      <w:marTop w:val="0"/>
      <w:marBottom w:val="0"/>
      <w:divBdr>
        <w:top w:val="none" w:sz="0" w:space="0" w:color="auto"/>
        <w:left w:val="none" w:sz="0" w:space="0" w:color="auto"/>
        <w:bottom w:val="none" w:sz="0" w:space="0" w:color="auto"/>
        <w:right w:val="none" w:sz="0" w:space="0" w:color="auto"/>
      </w:divBdr>
    </w:div>
    <w:div w:id="2096970231">
      <w:bodyDiv w:val="1"/>
      <w:marLeft w:val="0"/>
      <w:marRight w:val="0"/>
      <w:marTop w:val="0"/>
      <w:marBottom w:val="0"/>
      <w:divBdr>
        <w:top w:val="none" w:sz="0" w:space="0" w:color="auto"/>
        <w:left w:val="none" w:sz="0" w:space="0" w:color="auto"/>
        <w:bottom w:val="none" w:sz="0" w:space="0" w:color="auto"/>
        <w:right w:val="none" w:sz="0" w:space="0" w:color="auto"/>
      </w:divBdr>
    </w:div>
    <w:div w:id="2112966655">
      <w:bodyDiv w:val="1"/>
      <w:marLeft w:val="0"/>
      <w:marRight w:val="0"/>
      <w:marTop w:val="0"/>
      <w:marBottom w:val="0"/>
      <w:divBdr>
        <w:top w:val="none" w:sz="0" w:space="0" w:color="auto"/>
        <w:left w:val="none" w:sz="0" w:space="0" w:color="auto"/>
        <w:bottom w:val="none" w:sz="0" w:space="0" w:color="auto"/>
        <w:right w:val="none" w:sz="0" w:space="0" w:color="auto"/>
      </w:divBdr>
    </w:div>
    <w:div w:id="2121296776">
      <w:bodyDiv w:val="1"/>
      <w:marLeft w:val="0"/>
      <w:marRight w:val="0"/>
      <w:marTop w:val="0"/>
      <w:marBottom w:val="0"/>
      <w:divBdr>
        <w:top w:val="none" w:sz="0" w:space="0" w:color="auto"/>
        <w:left w:val="none" w:sz="0" w:space="0" w:color="auto"/>
        <w:bottom w:val="none" w:sz="0" w:space="0" w:color="auto"/>
        <w:right w:val="none" w:sz="0" w:space="0" w:color="auto"/>
      </w:divBdr>
    </w:div>
    <w:div w:id="212680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25067-BC0C-4C13-A367-4D47EEBE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15232</Words>
  <Characters>86823</Characters>
  <Application>Microsoft Office Word</Application>
  <DocSecurity>0</DocSecurity>
  <Lines>723</Lines>
  <Paragraphs>203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101852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 Kocic</dc:creator>
  <cp:lastModifiedBy>Nives Damjanic</cp:lastModifiedBy>
  <cp:revision>7</cp:revision>
  <cp:lastPrinted>2025-06-10T10:34:00Z</cp:lastPrinted>
  <dcterms:created xsi:type="dcterms:W3CDTF">2025-06-10T11:38:00Z</dcterms:created>
  <dcterms:modified xsi:type="dcterms:W3CDTF">2025-06-12T09:24:00Z</dcterms:modified>
</cp:coreProperties>
</file>